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pacing w:val="53"/>
          <w:kern w:val="0"/>
          <w:sz w:val="48"/>
          <w:szCs w:val="48"/>
        </w:rPr>
      </w:pPr>
    </w:p>
    <w:p>
      <w:pPr>
        <w:jc w:val="center"/>
        <w:rPr>
          <w:rFonts w:ascii="黑体" w:hAnsi="黑体" w:eastAsia="黑体" w:cs="黑体"/>
          <w:kern w:val="0"/>
          <w:sz w:val="48"/>
          <w:szCs w:val="48"/>
        </w:rPr>
      </w:pPr>
    </w:p>
    <w:p>
      <w:pPr>
        <w:jc w:val="center"/>
        <w:rPr>
          <w:rFonts w:ascii="黑体" w:hAnsi="黑体" w:eastAsia="黑体" w:cs="黑体"/>
          <w:kern w:val="0"/>
          <w:sz w:val="48"/>
          <w:szCs w:val="48"/>
        </w:rPr>
      </w:pPr>
    </w:p>
    <w:p>
      <w:pPr>
        <w:jc w:val="center"/>
        <w:rPr>
          <w:rFonts w:ascii="黑体" w:hAnsi="黑体" w:eastAsia="黑体" w:cs="黑体"/>
          <w:sz w:val="48"/>
          <w:szCs w:val="48"/>
        </w:rPr>
      </w:pPr>
      <w:r>
        <w:rPr>
          <w:rFonts w:hint="eastAsia" w:ascii="黑体" w:hAnsi="黑体" w:eastAsia="黑体" w:cs="黑体"/>
          <w:spacing w:val="53"/>
          <w:kern w:val="0"/>
          <w:sz w:val="48"/>
          <w:szCs w:val="48"/>
          <w:fitText w:val="5760" w:id="1756762229"/>
        </w:rPr>
        <w:t>中国港口协会团体标</w:t>
      </w:r>
      <w:r>
        <w:rPr>
          <w:rFonts w:hint="eastAsia" w:ascii="黑体" w:hAnsi="黑体" w:eastAsia="黑体" w:cs="黑体"/>
          <w:spacing w:val="3"/>
          <w:kern w:val="0"/>
          <w:sz w:val="48"/>
          <w:szCs w:val="48"/>
          <w:fitText w:val="5760" w:id="1756762229"/>
        </w:rPr>
        <w:t>准</w:t>
      </w:r>
    </w:p>
    <w:p>
      <w:pP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2"/>
          <w:szCs w:val="32"/>
        </w:rPr>
        <w:t>岸边集装箱起重机传动部件振动监测系统技术要求</w:t>
      </w:r>
    </w:p>
    <w:p>
      <w:pPr>
        <w:jc w:val="center"/>
        <w:rPr>
          <w:rFonts w:ascii="黑体" w:hAnsi="黑体" w:eastAsia="黑体" w:cs="黑体"/>
          <w:sz w:val="30"/>
          <w:szCs w:val="30"/>
        </w:rPr>
      </w:pPr>
      <w:r>
        <w:rPr>
          <w:rFonts w:hint="eastAsia" w:ascii="黑体" w:hAnsi="黑体" w:eastAsia="黑体" w:cs="黑体"/>
          <w:sz w:val="30"/>
          <w:szCs w:val="30"/>
        </w:rPr>
        <w:t>（征求意见稿）</w:t>
      </w: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编制说明</w:t>
      </w: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标准起草组</w:t>
      </w:r>
    </w:p>
    <w:p>
      <w:pPr>
        <w:jc w:val="center"/>
        <w:rPr>
          <w:rFonts w:ascii="黑体" w:hAnsi="黑体" w:eastAsia="黑体" w:cs="黑体"/>
          <w:sz w:val="30"/>
          <w:szCs w:val="30"/>
        </w:rPr>
      </w:pPr>
      <w:r>
        <w:rPr>
          <w:rFonts w:hint="eastAsia" w:ascii="黑体" w:hAnsi="黑体" w:eastAsia="黑体" w:cs="黑体"/>
          <w:sz w:val="30"/>
          <w:szCs w:val="30"/>
        </w:rPr>
        <w:t>2021年9月</w:t>
      </w:r>
    </w:p>
    <w:p>
      <w:pPr>
        <w:jc w:val="center"/>
        <w:rPr>
          <w:rFonts w:ascii="黑体" w:hAnsi="黑体" w:eastAsia="黑体" w:cs="黑体"/>
          <w:sz w:val="30"/>
          <w:szCs w:val="30"/>
        </w:rPr>
      </w:pPr>
    </w:p>
    <w:p>
      <w:pPr>
        <w:rPr>
          <w:rFonts w:ascii="黑体" w:hAnsi="黑体" w:eastAsia="黑体" w:cs="黑体"/>
          <w:sz w:val="30"/>
          <w:szCs w:val="30"/>
        </w:rPr>
      </w:pPr>
    </w:p>
    <w:p>
      <w:pPr>
        <w:jc w:val="center"/>
        <w:rPr>
          <w:rFonts w:ascii="宋体" w:hAnsi="宋体" w:eastAsia="宋体"/>
        </w:rPr>
        <w:sectPr>
          <w:pgSz w:w="11906" w:h="16838"/>
          <w:pgMar w:top="1440" w:right="1800" w:bottom="1440" w:left="1800" w:header="851" w:footer="992" w:gutter="0"/>
          <w:pgNumType w:fmt="upperRoman"/>
          <w:cols w:space="425" w:num="1"/>
          <w:docGrid w:type="lines" w:linePitch="312" w:charSpace="0"/>
        </w:sectPr>
      </w:pPr>
    </w:p>
    <w:sdt>
      <w:sdtPr>
        <w:rPr>
          <w:rFonts w:ascii="宋体" w:hAnsi="宋体" w:eastAsia="宋体"/>
        </w:rPr>
        <w:id w:val="147483330"/>
        <w:docPartObj>
          <w:docPartGallery w:val="Table of Contents"/>
          <w:docPartUnique/>
        </w:docPartObj>
      </w:sdtPr>
      <w:sdtEndPr>
        <w:rPr>
          <w:rFonts w:ascii="黑体" w:hAnsi="黑体" w:eastAsia="黑体" w:cs="黑体"/>
          <w:szCs w:val="30"/>
        </w:rPr>
      </w:sdtEndPr>
      <w:sdtContent>
        <w:p>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目录</w:t>
          </w:r>
        </w:p>
        <w:p>
          <w:pPr>
            <w:pStyle w:val="6"/>
            <w:tabs>
              <w:tab w:val="right" w:leader="dot" w:pos="8306"/>
            </w:tabs>
            <w:rPr>
              <w:sz w:val="32"/>
              <w:szCs w:val="40"/>
            </w:rPr>
          </w:pPr>
          <w:r>
            <w:rPr>
              <w:rFonts w:ascii="黑体" w:hAnsi="黑体" w:eastAsia="黑体" w:cs="黑体"/>
              <w:sz w:val="44"/>
              <w:szCs w:val="44"/>
            </w:rPr>
            <w:fldChar w:fldCharType="begin"/>
          </w:r>
          <w:r>
            <w:rPr>
              <w:rFonts w:ascii="黑体" w:hAnsi="黑体" w:eastAsia="黑体" w:cs="黑体"/>
              <w:sz w:val="44"/>
              <w:szCs w:val="44"/>
            </w:rPr>
            <w:instrText xml:space="preserve">TOC \o "1-3" \h \u </w:instrText>
          </w:r>
          <w:r>
            <w:rPr>
              <w:rFonts w:ascii="黑体" w:hAnsi="黑体" w:eastAsia="黑体" w:cs="黑体"/>
              <w:sz w:val="44"/>
              <w:szCs w:val="44"/>
            </w:rPr>
            <w:fldChar w:fldCharType="separate"/>
          </w:r>
          <w:r>
            <w:rPr>
              <w:rFonts w:ascii="黑体" w:hAnsi="黑体" w:eastAsia="黑体" w:cs="黑体"/>
              <w:sz w:val="32"/>
              <w:szCs w:val="44"/>
            </w:rPr>
            <w:fldChar w:fldCharType="begin"/>
          </w:r>
          <w:r>
            <w:rPr>
              <w:rFonts w:ascii="黑体" w:hAnsi="黑体" w:eastAsia="黑体" w:cs="黑体"/>
              <w:sz w:val="32"/>
              <w:szCs w:val="44"/>
            </w:rPr>
            <w:instrText xml:space="preserve"> HYPERLINK \l _Toc6164 </w:instrText>
          </w:r>
          <w:r>
            <w:rPr>
              <w:rFonts w:ascii="黑体" w:hAnsi="黑体" w:eastAsia="黑体" w:cs="黑体"/>
              <w:sz w:val="32"/>
              <w:szCs w:val="44"/>
            </w:rPr>
            <w:fldChar w:fldCharType="separate"/>
          </w:r>
          <w:r>
            <w:rPr>
              <w:rFonts w:hint="eastAsia" w:ascii="宋体" w:hAnsi="宋体" w:eastAsia="宋体" w:cs="宋体"/>
              <w:bCs/>
              <w:sz w:val="32"/>
              <w:szCs w:val="40"/>
            </w:rPr>
            <w:t>1 工作简况</w:t>
          </w:r>
          <w:r>
            <w:rPr>
              <w:sz w:val="32"/>
              <w:szCs w:val="40"/>
            </w:rPr>
            <w:tab/>
          </w:r>
          <w:r>
            <w:rPr>
              <w:sz w:val="32"/>
              <w:szCs w:val="40"/>
            </w:rPr>
            <w:fldChar w:fldCharType="begin"/>
          </w:r>
          <w:r>
            <w:rPr>
              <w:sz w:val="32"/>
              <w:szCs w:val="40"/>
            </w:rPr>
            <w:instrText xml:space="preserve"> PAGEREF _Toc6164 \h </w:instrText>
          </w:r>
          <w:r>
            <w:rPr>
              <w:sz w:val="32"/>
              <w:szCs w:val="40"/>
            </w:rPr>
            <w:fldChar w:fldCharType="separate"/>
          </w:r>
          <w:r>
            <w:rPr>
              <w:sz w:val="32"/>
              <w:szCs w:val="40"/>
            </w:rPr>
            <w:t>1</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_Toc22906 </w:instrText>
          </w:r>
          <w:r>
            <w:rPr>
              <w:rFonts w:ascii="黑体" w:hAnsi="黑体" w:eastAsia="黑体" w:cs="黑体"/>
              <w:sz w:val="32"/>
              <w:szCs w:val="44"/>
            </w:rPr>
            <w:fldChar w:fldCharType="separate"/>
          </w:r>
          <w:r>
            <w:rPr>
              <w:rFonts w:hint="eastAsia" w:ascii="宋体" w:hAnsi="宋体" w:eastAsia="宋体" w:cs="宋体"/>
              <w:bCs/>
              <w:sz w:val="32"/>
              <w:szCs w:val="40"/>
            </w:rPr>
            <w:t>2 标准编制的原则和确定标准主要内容的论据</w:t>
          </w:r>
          <w:r>
            <w:rPr>
              <w:sz w:val="32"/>
              <w:szCs w:val="40"/>
            </w:rPr>
            <w:tab/>
          </w:r>
          <w:r>
            <w:rPr>
              <w:sz w:val="32"/>
              <w:szCs w:val="40"/>
            </w:rPr>
            <w:fldChar w:fldCharType="begin"/>
          </w:r>
          <w:r>
            <w:rPr>
              <w:sz w:val="32"/>
              <w:szCs w:val="40"/>
            </w:rPr>
            <w:instrText xml:space="preserve"> PAGEREF _Toc22906 \h </w:instrText>
          </w:r>
          <w:r>
            <w:rPr>
              <w:sz w:val="32"/>
              <w:szCs w:val="40"/>
            </w:rPr>
            <w:fldChar w:fldCharType="separate"/>
          </w:r>
          <w:r>
            <w:rPr>
              <w:sz w:val="32"/>
              <w:szCs w:val="40"/>
            </w:rPr>
            <w:t>3</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_Toc16665 </w:instrText>
          </w:r>
          <w:r>
            <w:rPr>
              <w:rFonts w:ascii="黑体" w:hAnsi="黑体" w:eastAsia="黑体" w:cs="黑体"/>
              <w:sz w:val="32"/>
              <w:szCs w:val="44"/>
            </w:rPr>
            <w:fldChar w:fldCharType="separate"/>
          </w:r>
          <w:r>
            <w:rPr>
              <w:rFonts w:hint="eastAsia" w:ascii="宋体" w:hAnsi="宋体" w:eastAsia="宋体" w:cs="宋体"/>
              <w:bCs/>
              <w:sz w:val="32"/>
              <w:szCs w:val="40"/>
            </w:rPr>
            <w:t>3 预期的经济效果、社会效果分析和主要实验分析</w:t>
          </w:r>
          <w:r>
            <w:rPr>
              <w:sz w:val="32"/>
              <w:szCs w:val="40"/>
            </w:rPr>
            <w:tab/>
          </w:r>
          <w:r>
            <w:rPr>
              <w:sz w:val="32"/>
              <w:szCs w:val="40"/>
            </w:rPr>
            <w:fldChar w:fldCharType="begin"/>
          </w:r>
          <w:r>
            <w:rPr>
              <w:sz w:val="32"/>
              <w:szCs w:val="40"/>
            </w:rPr>
            <w:instrText xml:space="preserve"> PAGEREF _Toc16665 \h </w:instrText>
          </w:r>
          <w:r>
            <w:rPr>
              <w:sz w:val="32"/>
              <w:szCs w:val="40"/>
            </w:rPr>
            <w:fldChar w:fldCharType="separate"/>
          </w:r>
          <w:r>
            <w:rPr>
              <w:sz w:val="32"/>
              <w:szCs w:val="40"/>
            </w:rPr>
            <w:t>9</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_Toc8818 </w:instrText>
          </w:r>
          <w:r>
            <w:rPr>
              <w:rFonts w:ascii="黑体" w:hAnsi="黑体" w:eastAsia="黑体" w:cs="黑体"/>
              <w:sz w:val="32"/>
              <w:szCs w:val="44"/>
            </w:rPr>
            <w:fldChar w:fldCharType="separate"/>
          </w:r>
          <w:r>
            <w:rPr>
              <w:rFonts w:hint="eastAsia" w:ascii="宋体" w:hAnsi="宋体" w:eastAsia="宋体" w:cs="宋体"/>
              <w:bCs/>
              <w:sz w:val="32"/>
              <w:szCs w:val="40"/>
            </w:rPr>
            <w:t>4 采用国际标准和国外先进标准的程度，以及与国际、国外同类标准水平的对比情况，或与测试的国外样品、样机的有关数据对比情况</w:t>
          </w:r>
          <w:r>
            <w:rPr>
              <w:sz w:val="32"/>
              <w:szCs w:val="40"/>
            </w:rPr>
            <w:tab/>
          </w:r>
          <w:r>
            <w:rPr>
              <w:sz w:val="32"/>
              <w:szCs w:val="40"/>
            </w:rPr>
            <w:fldChar w:fldCharType="begin"/>
          </w:r>
          <w:r>
            <w:rPr>
              <w:sz w:val="32"/>
              <w:szCs w:val="40"/>
            </w:rPr>
            <w:instrText xml:space="preserve"> PAGEREF _Toc8818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_Toc8885 </w:instrText>
          </w:r>
          <w:r>
            <w:rPr>
              <w:rFonts w:ascii="黑体" w:hAnsi="黑体" w:eastAsia="黑体" w:cs="黑体"/>
              <w:sz w:val="32"/>
              <w:szCs w:val="44"/>
            </w:rPr>
            <w:fldChar w:fldCharType="separate"/>
          </w:r>
          <w:r>
            <w:rPr>
              <w:rFonts w:hint="eastAsia" w:ascii="宋体" w:hAnsi="宋体" w:eastAsia="宋体" w:cs="宋体"/>
              <w:bCs/>
              <w:sz w:val="32"/>
              <w:szCs w:val="40"/>
            </w:rPr>
            <w:t>5 与有关的现行法律、法规和强制性标准的关系</w:t>
          </w:r>
          <w:r>
            <w:rPr>
              <w:sz w:val="32"/>
              <w:szCs w:val="40"/>
            </w:rPr>
            <w:tab/>
          </w:r>
          <w:r>
            <w:rPr>
              <w:sz w:val="32"/>
              <w:szCs w:val="40"/>
            </w:rPr>
            <w:fldChar w:fldCharType="begin"/>
          </w:r>
          <w:r>
            <w:rPr>
              <w:sz w:val="32"/>
              <w:szCs w:val="40"/>
            </w:rPr>
            <w:instrText xml:space="preserve"> PAGEREF _Toc8885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_Toc11832 </w:instrText>
          </w:r>
          <w:r>
            <w:rPr>
              <w:rFonts w:ascii="黑体" w:hAnsi="黑体" w:eastAsia="黑体" w:cs="黑体"/>
              <w:sz w:val="32"/>
              <w:szCs w:val="44"/>
            </w:rPr>
            <w:fldChar w:fldCharType="separate"/>
          </w:r>
          <w:r>
            <w:rPr>
              <w:rFonts w:hint="eastAsia" w:ascii="宋体" w:hAnsi="宋体" w:eastAsia="宋体" w:cs="宋体"/>
              <w:bCs/>
              <w:sz w:val="32"/>
              <w:szCs w:val="40"/>
            </w:rPr>
            <w:t>6 重大分歧意见的处理经过和依据</w:t>
          </w:r>
          <w:r>
            <w:rPr>
              <w:sz w:val="32"/>
              <w:szCs w:val="40"/>
            </w:rPr>
            <w:tab/>
          </w:r>
          <w:r>
            <w:rPr>
              <w:sz w:val="32"/>
              <w:szCs w:val="40"/>
            </w:rPr>
            <w:fldChar w:fldCharType="begin"/>
          </w:r>
          <w:r>
            <w:rPr>
              <w:sz w:val="32"/>
              <w:szCs w:val="40"/>
            </w:rPr>
            <w:instrText xml:space="preserve"> PAGEREF _Toc11832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_Toc15168 </w:instrText>
          </w:r>
          <w:r>
            <w:rPr>
              <w:rFonts w:ascii="黑体" w:hAnsi="黑体" w:eastAsia="黑体" w:cs="黑体"/>
              <w:sz w:val="32"/>
              <w:szCs w:val="44"/>
            </w:rPr>
            <w:fldChar w:fldCharType="separate"/>
          </w:r>
          <w:r>
            <w:rPr>
              <w:rFonts w:hint="eastAsia" w:ascii="宋体" w:hAnsi="宋体" w:eastAsia="宋体" w:cs="宋体"/>
              <w:bCs/>
              <w:sz w:val="32"/>
              <w:szCs w:val="40"/>
            </w:rPr>
            <w:t>7 贯彻标准的要求和措施的建议</w:t>
          </w:r>
          <w:r>
            <w:rPr>
              <w:sz w:val="32"/>
              <w:szCs w:val="40"/>
            </w:rPr>
            <w:tab/>
          </w:r>
          <w:r>
            <w:rPr>
              <w:sz w:val="32"/>
              <w:szCs w:val="40"/>
            </w:rPr>
            <w:fldChar w:fldCharType="begin"/>
          </w:r>
          <w:r>
            <w:rPr>
              <w:sz w:val="32"/>
              <w:szCs w:val="40"/>
            </w:rPr>
            <w:instrText xml:space="preserve"> PAGEREF _Toc15168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_Toc18469 </w:instrText>
          </w:r>
          <w:r>
            <w:rPr>
              <w:rFonts w:ascii="黑体" w:hAnsi="黑体" w:eastAsia="黑体" w:cs="黑体"/>
              <w:sz w:val="32"/>
              <w:szCs w:val="44"/>
            </w:rPr>
            <w:fldChar w:fldCharType="separate"/>
          </w:r>
          <w:r>
            <w:rPr>
              <w:rFonts w:hint="eastAsia" w:ascii="宋体" w:hAnsi="宋体" w:eastAsia="宋体" w:cs="宋体"/>
              <w:bCs/>
              <w:sz w:val="32"/>
              <w:szCs w:val="40"/>
            </w:rPr>
            <w:t>8 废止现行有关标准的建议</w:t>
          </w:r>
          <w:r>
            <w:rPr>
              <w:sz w:val="32"/>
              <w:szCs w:val="40"/>
            </w:rPr>
            <w:tab/>
          </w:r>
          <w:r>
            <w:rPr>
              <w:sz w:val="32"/>
              <w:szCs w:val="40"/>
            </w:rPr>
            <w:fldChar w:fldCharType="begin"/>
          </w:r>
          <w:r>
            <w:rPr>
              <w:sz w:val="32"/>
              <w:szCs w:val="40"/>
            </w:rPr>
            <w:instrText xml:space="preserve"> PAGEREF _Toc18469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pStyle w:val="6"/>
            <w:tabs>
              <w:tab w:val="right" w:leader="dot" w:pos="8306"/>
            </w:tabs>
            <w:rPr>
              <w:sz w:val="32"/>
              <w:szCs w:val="40"/>
            </w:rPr>
          </w:pPr>
          <w:r>
            <w:rPr>
              <w:rFonts w:ascii="黑体" w:hAnsi="黑体" w:eastAsia="黑体" w:cs="黑体"/>
              <w:sz w:val="32"/>
              <w:szCs w:val="44"/>
            </w:rPr>
            <w:fldChar w:fldCharType="begin"/>
          </w:r>
          <w:r>
            <w:rPr>
              <w:rFonts w:ascii="黑体" w:hAnsi="黑体" w:eastAsia="黑体" w:cs="黑体"/>
              <w:sz w:val="32"/>
              <w:szCs w:val="44"/>
            </w:rPr>
            <w:instrText xml:space="preserve"> HYPERLINK \l _Toc32110 </w:instrText>
          </w:r>
          <w:r>
            <w:rPr>
              <w:rFonts w:ascii="黑体" w:hAnsi="黑体" w:eastAsia="黑体" w:cs="黑体"/>
              <w:sz w:val="32"/>
              <w:szCs w:val="44"/>
            </w:rPr>
            <w:fldChar w:fldCharType="separate"/>
          </w:r>
          <w:r>
            <w:rPr>
              <w:rFonts w:hint="eastAsia" w:ascii="宋体" w:hAnsi="宋体" w:eastAsia="宋体" w:cs="宋体"/>
              <w:bCs/>
              <w:sz w:val="32"/>
              <w:szCs w:val="40"/>
            </w:rPr>
            <w:t>9 其他应予说明的事项</w:t>
          </w:r>
          <w:r>
            <w:rPr>
              <w:sz w:val="32"/>
              <w:szCs w:val="40"/>
            </w:rPr>
            <w:tab/>
          </w:r>
          <w:r>
            <w:rPr>
              <w:sz w:val="32"/>
              <w:szCs w:val="40"/>
            </w:rPr>
            <w:fldChar w:fldCharType="begin"/>
          </w:r>
          <w:r>
            <w:rPr>
              <w:sz w:val="32"/>
              <w:szCs w:val="40"/>
            </w:rPr>
            <w:instrText xml:space="preserve"> PAGEREF _Toc32110 \h </w:instrText>
          </w:r>
          <w:r>
            <w:rPr>
              <w:sz w:val="32"/>
              <w:szCs w:val="40"/>
            </w:rPr>
            <w:fldChar w:fldCharType="separate"/>
          </w:r>
          <w:r>
            <w:rPr>
              <w:sz w:val="32"/>
              <w:szCs w:val="40"/>
            </w:rPr>
            <w:t>12</w:t>
          </w:r>
          <w:r>
            <w:rPr>
              <w:sz w:val="32"/>
              <w:szCs w:val="40"/>
            </w:rPr>
            <w:fldChar w:fldCharType="end"/>
          </w:r>
          <w:r>
            <w:rPr>
              <w:rFonts w:ascii="黑体" w:hAnsi="黑体" w:eastAsia="黑体" w:cs="黑体"/>
              <w:sz w:val="32"/>
              <w:szCs w:val="44"/>
            </w:rPr>
            <w:fldChar w:fldCharType="end"/>
          </w:r>
        </w:p>
        <w:p>
          <w:pPr>
            <w:rPr>
              <w:rFonts w:ascii="黑体" w:hAnsi="黑体" w:eastAsia="黑体" w:cs="黑体"/>
              <w:sz w:val="30"/>
              <w:szCs w:val="30"/>
            </w:rPr>
          </w:pPr>
          <w:r>
            <w:rPr>
              <w:rFonts w:ascii="黑体" w:hAnsi="黑体" w:eastAsia="黑体" w:cs="黑体"/>
              <w:sz w:val="32"/>
              <w:szCs w:val="44"/>
            </w:rPr>
            <w:fldChar w:fldCharType="end"/>
          </w:r>
        </w:p>
      </w:sdtContent>
    </w:sdt>
    <w:p>
      <w:pPr>
        <w:rPr>
          <w:rFonts w:ascii="黑体" w:hAnsi="黑体" w:eastAsia="黑体" w:cs="黑体"/>
          <w:sz w:val="30"/>
          <w:szCs w:val="30"/>
        </w:rPr>
      </w:pPr>
    </w:p>
    <w:p>
      <w:pPr>
        <w:rPr>
          <w:rFonts w:ascii="黑体" w:hAnsi="黑体" w:eastAsia="黑体" w:cs="黑体"/>
          <w:sz w:val="30"/>
          <w:szCs w:val="30"/>
        </w:rPr>
      </w:pPr>
      <w:bookmarkStart w:id="11" w:name="_GoBack"/>
      <w:bookmarkEnd w:id="11"/>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outlineLvl w:val="0"/>
        <w:rPr>
          <w:rFonts w:ascii="黑体" w:hAnsi="黑体" w:eastAsia="黑体" w:cs="黑体"/>
          <w:sz w:val="30"/>
          <w:szCs w:val="30"/>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spacing w:before="156" w:beforeLines="50" w:after="156" w:afterLines="50" w:line="360" w:lineRule="auto"/>
        <w:outlineLvl w:val="0"/>
        <w:rPr>
          <w:rFonts w:ascii="宋体" w:hAnsi="宋体" w:eastAsia="宋体" w:cs="宋体"/>
          <w:b/>
          <w:bCs/>
          <w:sz w:val="24"/>
        </w:rPr>
      </w:pPr>
      <w:bookmarkStart w:id="0" w:name="_Toc6164"/>
      <w:r>
        <w:rPr>
          <w:rFonts w:hint="eastAsia" w:ascii="宋体" w:hAnsi="宋体" w:eastAsia="宋体" w:cs="宋体"/>
          <w:b/>
          <w:bCs/>
          <w:sz w:val="24"/>
        </w:rPr>
        <w:t>1 工作简况</w:t>
      </w:r>
      <w:bookmarkEnd w:id="0"/>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1.1任务来源</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根据中国港口协会关于下达2020年中国港口协会团体标准化计划通知（中港协行函[2020]21号）的要求，修订中国港口协会团体标准——岸边集装箱起重机传动部件振动监测系统技术要求（计划编号：2020-10），由广州港股份有限公司完成该项制定任务。</w:t>
      </w:r>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1.2协作单位</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单位名称</w:t>
            </w:r>
          </w:p>
        </w:tc>
        <w:tc>
          <w:tcPr>
            <w:tcW w:w="4261" w:type="dxa"/>
            <w:vAlign w:val="center"/>
          </w:tcPr>
          <w:p>
            <w:pPr>
              <w:jc w:val="center"/>
              <w:rPr>
                <w:rFonts w:ascii="黑体" w:hAnsi="黑体" w:eastAsia="黑体" w:cs="黑体"/>
                <w:sz w:val="24"/>
              </w:rPr>
            </w:pPr>
            <w:r>
              <w:rPr>
                <w:rFonts w:hint="eastAsia" w:cs="黑体" w:asciiTheme="majorEastAsia" w:hAnsiTheme="majorEastAsia" w:eastAsiaTheme="majorEastAsia"/>
                <w:sz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广州港股份有限公司南沙集装箱码头分公司</w:t>
            </w:r>
          </w:p>
        </w:tc>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0</w:t>
            </w:r>
            <w:r>
              <w:rPr>
                <w:rFonts w:cs="黑体" w:asciiTheme="majorEastAsia" w:hAnsiTheme="majorEastAsia" w:eastAsiaTheme="majorEastAsia"/>
                <w:sz w:val="24"/>
              </w:rPr>
              <w:t>20</w:t>
            </w:r>
            <w:r>
              <w:rPr>
                <w:rFonts w:hint="eastAsia" w:cs="黑体" w:asciiTheme="majorEastAsia" w:hAnsiTheme="majorEastAsia" w:eastAsiaTheme="majorEastAsia"/>
                <w:sz w:val="24"/>
              </w:rPr>
              <w:t>-</w:t>
            </w:r>
            <w:r>
              <w:rPr>
                <w:rFonts w:cs="黑体" w:asciiTheme="majorEastAsia" w:hAnsiTheme="majorEastAsia" w:eastAsiaTheme="majorEastAsia"/>
                <w:sz w:val="24"/>
              </w:rPr>
              <w:t>83050018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cs="黑体" w:eastAsiaTheme="majorEastAsia"/>
                <w:sz w:val="24"/>
              </w:rPr>
            </w:pPr>
            <w:r>
              <w:rPr>
                <w:rFonts w:hint="eastAsia" w:cs="黑体" w:asciiTheme="majorEastAsia" w:hAnsiTheme="majorEastAsia" w:eastAsiaTheme="majorEastAsia"/>
                <w:sz w:val="24"/>
              </w:rPr>
              <w:t>上海振华重工（集团）股份有限公司</w:t>
            </w:r>
          </w:p>
        </w:tc>
        <w:tc>
          <w:tcPr>
            <w:tcW w:w="4261" w:type="dxa"/>
            <w:vAlign w:val="center"/>
          </w:tcPr>
          <w:p>
            <w:pPr>
              <w:jc w:val="center"/>
              <w:rPr>
                <w:rFonts w:cs="黑体" w:asciiTheme="majorEastAsia" w:hAnsiTheme="majorEastAsia" w:eastAsiaTheme="majorEastAsia"/>
                <w:sz w:val="24"/>
              </w:rPr>
            </w:pPr>
            <w:r>
              <w:rPr>
                <w:rFonts w:cs="黑体" w:asciiTheme="majorEastAsia" w:hAnsiTheme="majorEastAsia" w:eastAsiaTheme="majorEastAsia"/>
                <w:sz w:val="24"/>
              </w:rPr>
              <w:t>021-31192438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eastAsia="黑体" w:cs="黑体"/>
                <w:sz w:val="24"/>
              </w:rPr>
            </w:pPr>
            <w:r>
              <w:rPr>
                <w:rFonts w:hint="eastAsia" w:cs="黑体" w:asciiTheme="majorEastAsia" w:hAnsiTheme="majorEastAsia" w:eastAsiaTheme="majorEastAsia"/>
                <w:sz w:val="24"/>
              </w:rPr>
              <w:t>同济大学机械工程与能源学院</w:t>
            </w:r>
          </w:p>
        </w:tc>
        <w:tc>
          <w:tcPr>
            <w:tcW w:w="4261" w:type="dxa"/>
            <w:vAlign w:val="center"/>
          </w:tcPr>
          <w:p>
            <w:pPr>
              <w:jc w:val="center"/>
              <w:rPr>
                <w:rFonts w:cs="黑体" w:asciiTheme="majorEastAsia" w:hAnsiTheme="majorEastAsia" w:eastAsiaTheme="majorEastAsia"/>
                <w:sz w:val="24"/>
              </w:rPr>
            </w:pPr>
            <w:r>
              <w:rPr>
                <w:rFonts w:cs="黑体" w:asciiTheme="majorEastAsia" w:hAnsiTheme="majorEastAsia" w:eastAsiaTheme="majorEastAsia"/>
                <w:sz w:val="24"/>
              </w:rPr>
              <w:t>021-65982875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cs="黑体" w:eastAsiaTheme="majorEastAsia"/>
                <w:sz w:val="24"/>
              </w:rPr>
            </w:pPr>
            <w:r>
              <w:rPr>
                <w:rFonts w:hint="eastAsia" w:cs="黑体" w:asciiTheme="majorEastAsia" w:hAnsiTheme="majorEastAsia" w:eastAsiaTheme="majorEastAsia"/>
                <w:sz w:val="24"/>
              </w:rPr>
              <w:t>北京泛泰克斯仪器有限公司</w:t>
            </w:r>
          </w:p>
        </w:tc>
        <w:tc>
          <w:tcPr>
            <w:tcW w:w="4261" w:type="dxa"/>
            <w:vAlign w:val="center"/>
          </w:tcPr>
          <w:p>
            <w:pPr>
              <w:jc w:val="center"/>
              <w:rPr>
                <w:rFonts w:cs="黑体" w:asciiTheme="majorEastAsia" w:hAnsiTheme="majorEastAsia" w:eastAsiaTheme="majorEastAsia"/>
                <w:color w:val="FF0000"/>
                <w:sz w:val="24"/>
              </w:rPr>
            </w:pPr>
            <w:r>
              <w:rPr>
                <w:rFonts w:cs="黑体" w:asciiTheme="majorEastAsia" w:hAnsiTheme="majorEastAsia" w:eastAsiaTheme="majorEastAsia"/>
                <w:sz w:val="24"/>
              </w:rPr>
              <w:t>010-64096065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cs="黑体" w:eastAsiaTheme="majorEastAsia"/>
                <w:sz w:val="24"/>
              </w:rPr>
            </w:pPr>
            <w:r>
              <w:rPr>
                <w:rFonts w:hint="eastAsia" w:cs="黑体" w:asciiTheme="majorEastAsia" w:hAnsiTheme="majorEastAsia" w:eastAsiaTheme="majorEastAsia"/>
                <w:sz w:val="24"/>
              </w:rPr>
              <w:t>广州港研究院有限公司</w:t>
            </w:r>
          </w:p>
        </w:tc>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020-83051636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江苏东华测试技术股份有限公司</w:t>
            </w:r>
          </w:p>
        </w:tc>
        <w:tc>
          <w:tcPr>
            <w:tcW w:w="426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0523-84854399</w:t>
            </w:r>
          </w:p>
        </w:tc>
      </w:tr>
    </w:tbl>
    <w:p>
      <w:pPr>
        <w:spacing w:before="156" w:beforeLines="50" w:after="156" w:afterLines="50" w:line="360" w:lineRule="auto"/>
        <w:rPr>
          <w:rFonts w:ascii="黑体" w:hAnsi="黑体" w:eastAsia="黑体" w:cs="黑体"/>
          <w:sz w:val="24"/>
        </w:rPr>
      </w:pPr>
      <w:r>
        <w:rPr>
          <w:rFonts w:hint="eastAsia" w:ascii="黑体" w:hAnsi="黑体" w:eastAsia="黑体" w:cs="黑体"/>
          <w:sz w:val="24"/>
        </w:rPr>
        <w:t>1.3主要工作过程</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1）2020年6月，成立标准起草组，组员：李益波、李元贵、惠宏武、詹建北、张氢、王海峰、罗鸣、王江波、赵健宇、肖炳林、李汉标、王振国、陈泳、孙远韬、庞颖威、齐永志、王运、何威誉、李恒、周雄、高巧明；</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（2）2020年7月16日，向中港协提交团体标准项目申报书；</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3）2021年6月10日，中港协在四川泸州召开团体标准大纲咨询会。由于广州新冠疫情严重，为配合做好疫情防控工作，经与中国港口协会协商，广州相关参会单位不前往四川泸州参加会议，会议当天在广州通过视频会议形式参会。</w:t>
      </w:r>
      <w:r>
        <w:rPr>
          <w:rFonts w:cs="黑体" w:asciiTheme="majorEastAsia" w:hAnsiTheme="majorEastAsia" w:eastAsiaTheme="majorEastAsia"/>
          <w:sz w:val="24"/>
        </w:rPr>
        <w:t xml:space="preserve"> </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（4）202</w:t>
      </w:r>
      <w:r>
        <w:rPr>
          <w:rFonts w:cs="黑体" w:asciiTheme="majorEastAsia" w:hAnsiTheme="majorEastAsia" w:eastAsiaTheme="majorEastAsia"/>
          <w:sz w:val="24"/>
        </w:rPr>
        <w:t>1</w:t>
      </w:r>
      <w:r>
        <w:rPr>
          <w:rFonts w:hint="eastAsia" w:cs="黑体" w:asciiTheme="majorEastAsia" w:hAnsiTheme="majorEastAsia" w:eastAsiaTheme="majorEastAsia"/>
          <w:sz w:val="24"/>
        </w:rPr>
        <w:t>年6月30日，根据与会专家针对标准大纲提出修改意见进行修改，形成标准大纲终稿以及调研报告，提交给中港协；</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（5）在查阅国内外相关标准文献资料的基础上，标准编写组对岸边集装箱起重机传动部件振动监测系统技术的发展现状和存在问题进行调研和分析，明确标准结构和要素；</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6）2021年6月~2021年7月，通过函调、走访等方式对国内起重机厂家及码头用户的需求、痛点及振动状态监测系统应用情况等的调研报告，并结合广州港股份有限公司南沙集装箱码头分公司智慧港机项目实际使用情况，编写小组多次进行讨论和修改，形成标准初稿。</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（7）2021年8月，编写小组组织</w:t>
      </w:r>
      <w:r>
        <w:rPr>
          <w:rFonts w:hint="eastAsia" w:cs="黑体" w:asciiTheme="majorEastAsia" w:hAnsiTheme="majorEastAsia" w:eastAsiaTheme="majorEastAsia"/>
          <w:sz w:val="24"/>
          <w:lang w:eastAsia="zh-CN"/>
        </w:rPr>
        <w:t>多次</w:t>
      </w:r>
      <w:r>
        <w:rPr>
          <w:rFonts w:hint="eastAsia" w:cs="黑体" w:asciiTheme="majorEastAsia" w:hAnsiTheme="majorEastAsia" w:eastAsiaTheme="majorEastAsia"/>
          <w:sz w:val="24"/>
        </w:rPr>
        <w:t>线上讨论会，对标准的初稿，逐条进行讨论，对各参编单位编写的章节进行通稿和协调，提出相关修改意见。</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（8）2021年9月~2020年10月，完成标准征求意见稿和编制说明。</w:t>
      </w:r>
    </w:p>
    <w:p>
      <w:pPr>
        <w:spacing w:before="156" w:beforeLines="50" w:after="156" w:afterLines="50" w:line="360" w:lineRule="auto"/>
        <w:rPr>
          <w:rFonts w:ascii="黑体" w:hAnsi="黑体" w:eastAsia="黑体" w:cs="黑体"/>
          <w:sz w:val="24"/>
        </w:rPr>
      </w:pPr>
      <w:r>
        <w:rPr>
          <w:rFonts w:hint="eastAsia" w:ascii="黑体" w:hAnsi="黑体" w:eastAsia="黑体" w:cs="黑体"/>
          <w:sz w:val="24"/>
        </w:rPr>
        <w:t>1.4标准主要起草人及其所做工作</w:t>
      </w:r>
    </w:p>
    <w:tbl>
      <w:tblPr>
        <w:tblStyle w:val="8"/>
        <w:tblW w:w="847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56"/>
        <w:gridCol w:w="2663"/>
        <w:gridCol w:w="1491"/>
        <w:gridCol w:w="1440"/>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姓名</w:t>
            </w:r>
          </w:p>
        </w:tc>
        <w:tc>
          <w:tcPr>
            <w:tcW w:w="2663"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工作单位</w:t>
            </w:r>
          </w:p>
        </w:tc>
        <w:tc>
          <w:tcPr>
            <w:tcW w:w="1491"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从事专业</w:t>
            </w:r>
          </w:p>
        </w:tc>
        <w:tc>
          <w:tcPr>
            <w:tcW w:w="1440"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职称/职务</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负责工作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ascii="宋体" w:hAnsi="宋体" w:cs="宋体"/>
                <w:sz w:val="24"/>
              </w:rPr>
            </w:pPr>
            <w:r>
              <w:rPr>
                <w:rFonts w:hint="eastAsia" w:ascii="宋体" w:hAnsi="宋体" w:cs="宋体"/>
                <w:sz w:val="24"/>
              </w:rPr>
              <w:t>李益波</w:t>
            </w:r>
          </w:p>
        </w:tc>
        <w:tc>
          <w:tcPr>
            <w:tcW w:w="2663" w:type="dxa"/>
            <w:vAlign w:val="center"/>
          </w:tcPr>
          <w:p>
            <w:pPr>
              <w:rPr>
                <w:rFonts w:ascii="宋体" w:hAnsi="宋体" w:cs="宋体"/>
                <w:sz w:val="24"/>
              </w:rPr>
            </w:pPr>
            <w:r>
              <w:rPr>
                <w:rFonts w:hint="eastAsia" w:ascii="宋体" w:hAnsi="宋体" w:cs="宋体"/>
                <w:sz w:val="24"/>
              </w:rPr>
              <w:t>广州港集团有限公司</w:t>
            </w:r>
          </w:p>
        </w:tc>
        <w:tc>
          <w:tcPr>
            <w:tcW w:w="1491" w:type="dxa"/>
            <w:vAlign w:val="center"/>
          </w:tcPr>
          <w:p>
            <w:pPr>
              <w:rPr>
                <w:rFonts w:ascii="宋体" w:hAnsi="宋体" w:cs="宋体"/>
                <w:sz w:val="24"/>
              </w:rPr>
            </w:pPr>
            <w:r>
              <w:rPr>
                <w:rFonts w:hint="eastAsia" w:ascii="宋体" w:hAnsi="宋体" w:cs="宋体"/>
                <w:sz w:val="24"/>
              </w:rPr>
              <w:t>港口事务管理</w:t>
            </w:r>
          </w:p>
        </w:tc>
        <w:tc>
          <w:tcPr>
            <w:tcW w:w="1440" w:type="dxa"/>
            <w:vAlign w:val="center"/>
          </w:tcPr>
          <w:p>
            <w:pPr>
              <w:rPr>
                <w:rFonts w:ascii="宋体" w:hAnsi="宋体" w:cs="宋体"/>
                <w:sz w:val="24"/>
              </w:rPr>
            </w:pPr>
            <w:r>
              <w:rPr>
                <w:rFonts w:hint="eastAsia" w:ascii="宋体" w:hAnsi="宋体" w:cs="宋体"/>
                <w:sz w:val="24"/>
              </w:rPr>
              <w:t>高级工程师/董事长</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总负责人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李元贵</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港口技术管理</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高级工程师/部长</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惠宏武</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交通运输管理</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经济师/总经理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詹建北</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广州港研究院有限公司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港口电气</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高级工程师/副总经理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张氢</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同济大学</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建设机械及其关键技术</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教授/工会主席</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王海峰</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上海振华重工（集团）股份有限公司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机械设计及其自动化</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罗鸣</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北京泛泰克斯仪器有限公司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信号分析及解调</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总经理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王江波</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江苏东华测试技术股份有限公司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电子技术</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博士/高工</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赵健宇</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港口技术</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高级工程师/副部长</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肖炳林</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港口机械设计与制造</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高级工程师/副总经理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李汉标</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广州港研究院有限公司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港口工艺设备</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高级工程师/主任</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5"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王振国</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上海振华重工（集团）股份有限公司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自动化控制</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陈泳</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江苏东华测试技术股份有限公司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信号处理</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硕士/工程师</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孙远韬</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同济大学</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结构损失识别及演化</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副教授/系党委组织委员</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庞颖威</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计算机科学与技术</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工程师/经理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齐永志</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设备工程与管理</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高级工程师/经理</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王运</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信息与计算科学</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工程师/副主任</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标准起草主笔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何威誉</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广州港股份有限公司南沙集装箱码头分公司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港口技术管理</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工程师/主管</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标准起草主笔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李恒</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同济大学</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机械设备状态监测与故障诊断</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博士研究生</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cs="黑体" w:asciiTheme="majorEastAsia" w:hAnsiTheme="majorEastAsia" w:eastAsiaTheme="majorEastAsia"/>
                <w:sz w:val="24"/>
              </w:rPr>
            </w:pPr>
            <w:r>
              <w:rPr>
                <w:rFonts w:hint="eastAsia" w:ascii="宋体" w:hAnsi="宋体" w:cs="宋体"/>
                <w:sz w:val="24"/>
              </w:rPr>
              <w:t>周雄</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北京泛泰克斯仪器有限公司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固体力学</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硕士</w:t>
            </w:r>
            <w:r>
              <w:rPr>
                <w:rFonts w:ascii="宋体" w:hAnsi="宋体" w:cs="宋体"/>
                <w:sz w:val="24"/>
              </w:rPr>
              <w:t>/</w:t>
            </w:r>
            <w:r>
              <w:rPr>
                <w:rFonts w:hint="eastAsia" w:ascii="宋体" w:hAnsi="宋体" w:cs="宋体"/>
                <w:sz w:val="24"/>
              </w:rPr>
              <w:t>工程师</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56" w:type="dxa"/>
            <w:vAlign w:val="center"/>
          </w:tcPr>
          <w:p>
            <w:pPr>
              <w:jc w:val="center"/>
              <w:rPr>
                <w:rFonts w:ascii="宋体" w:hAnsi="宋体" w:cs="宋体"/>
                <w:sz w:val="24"/>
              </w:rPr>
            </w:pPr>
            <w:r>
              <w:rPr>
                <w:rFonts w:hint="eastAsia" w:ascii="宋体" w:hAnsi="宋体" w:cs="宋体"/>
                <w:sz w:val="24"/>
              </w:rPr>
              <w:t>高巧明</w:t>
            </w:r>
          </w:p>
        </w:tc>
        <w:tc>
          <w:tcPr>
            <w:tcW w:w="2663" w:type="dxa"/>
            <w:vAlign w:val="center"/>
          </w:tcPr>
          <w:p>
            <w:pPr>
              <w:rPr>
                <w:rFonts w:cs="黑体" w:asciiTheme="majorEastAsia" w:hAnsiTheme="majorEastAsia" w:eastAsiaTheme="majorEastAsia"/>
                <w:sz w:val="24"/>
              </w:rPr>
            </w:pPr>
            <w:r>
              <w:rPr>
                <w:rFonts w:hint="eastAsia" w:ascii="宋体" w:hAnsi="宋体" w:cs="宋体"/>
                <w:sz w:val="24"/>
              </w:rPr>
              <w:t>广州港股份有限公司</w:t>
            </w:r>
          </w:p>
        </w:tc>
        <w:tc>
          <w:tcPr>
            <w:tcW w:w="1491" w:type="dxa"/>
            <w:vAlign w:val="center"/>
          </w:tcPr>
          <w:p>
            <w:pPr>
              <w:rPr>
                <w:rFonts w:cs="黑体" w:asciiTheme="majorEastAsia" w:hAnsiTheme="majorEastAsia" w:eastAsiaTheme="majorEastAsia"/>
                <w:sz w:val="24"/>
              </w:rPr>
            </w:pPr>
            <w:r>
              <w:rPr>
                <w:rFonts w:hint="eastAsia" w:ascii="宋体" w:hAnsi="宋体" w:cs="宋体"/>
                <w:sz w:val="24"/>
              </w:rPr>
              <w:t>港口机械设计与制造</w:t>
            </w:r>
          </w:p>
        </w:tc>
        <w:tc>
          <w:tcPr>
            <w:tcW w:w="1440" w:type="dxa"/>
            <w:vAlign w:val="center"/>
          </w:tcPr>
          <w:p>
            <w:pPr>
              <w:rPr>
                <w:rFonts w:cs="黑体" w:asciiTheme="majorEastAsia" w:hAnsiTheme="majorEastAsia" w:eastAsiaTheme="majorEastAsia"/>
                <w:sz w:val="24"/>
              </w:rPr>
            </w:pPr>
            <w:r>
              <w:rPr>
                <w:rFonts w:hint="eastAsia" w:ascii="宋体" w:hAnsi="宋体" w:cs="宋体"/>
                <w:sz w:val="24"/>
              </w:rPr>
              <w:t>工程师/资深主管</w:t>
            </w:r>
          </w:p>
        </w:tc>
        <w:tc>
          <w:tcPr>
            <w:tcW w:w="1724" w:type="dxa"/>
            <w:vAlign w:val="center"/>
          </w:tcPr>
          <w:p>
            <w:pPr>
              <w:jc w:val="center"/>
              <w:rPr>
                <w:rFonts w:cs="黑体" w:asciiTheme="majorEastAsia" w:hAnsiTheme="majorEastAsia" w:eastAsiaTheme="majorEastAsia"/>
                <w:sz w:val="24"/>
              </w:rPr>
            </w:pPr>
            <w:r>
              <w:rPr>
                <w:rFonts w:hint="eastAsia" w:cs="黑体" w:asciiTheme="majorEastAsia" w:hAnsiTheme="majorEastAsia" w:eastAsiaTheme="majorEastAsia"/>
                <w:sz w:val="24"/>
              </w:rPr>
              <w:t>标准起草协调</w:t>
            </w:r>
          </w:p>
        </w:tc>
      </w:tr>
    </w:tbl>
    <w:p>
      <w:pPr>
        <w:spacing w:before="156" w:beforeLines="50" w:after="156" w:afterLines="50" w:line="360" w:lineRule="auto"/>
        <w:outlineLvl w:val="0"/>
        <w:rPr>
          <w:rFonts w:ascii="宋体" w:hAnsi="宋体" w:eastAsia="宋体" w:cs="宋体"/>
          <w:b/>
          <w:bCs/>
          <w:sz w:val="24"/>
        </w:rPr>
      </w:pPr>
      <w:bookmarkStart w:id="1" w:name="_Toc22906"/>
      <w:r>
        <w:rPr>
          <w:rFonts w:hint="eastAsia" w:ascii="宋体" w:hAnsi="宋体" w:eastAsia="宋体" w:cs="宋体"/>
          <w:b/>
          <w:bCs/>
          <w:sz w:val="24"/>
        </w:rPr>
        <w:t>2 标准编制的原则和确定标准主要内容的论据</w:t>
      </w:r>
      <w:bookmarkEnd w:id="1"/>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2.1 标准编制的原则</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本标准按照GB/T1.1-2020 《标准化工作导则 第一部分：标准的结构和编写》给出的规则制定。标准编制遵循“统一性、协调性、适用性、一致性、规范性”的原则。本标准是在广泛调查研究的基础上制定的，规定</w:t>
      </w:r>
      <w:r>
        <w:rPr>
          <w:rFonts w:hint="eastAsia" w:cs="黑体" w:asciiTheme="majorEastAsia" w:hAnsiTheme="majorEastAsia" w:eastAsiaTheme="majorEastAsia"/>
          <w:sz w:val="24"/>
          <w:lang w:eastAsia="zh-CN"/>
        </w:rPr>
        <w:t>明确</w:t>
      </w:r>
      <w:r>
        <w:rPr>
          <w:rFonts w:hint="eastAsia" w:cs="黑体" w:asciiTheme="majorEastAsia" w:hAnsiTheme="majorEastAsia" w:eastAsiaTheme="majorEastAsia"/>
          <w:sz w:val="24"/>
        </w:rPr>
        <w:t>了岸边集装箱起重机传动部件振动监测系统的基本要求、系统构成、传感器、数据采集器、监测可视化以及系统功能，确保所配置振动监测系统的性能及功能真正实现状态监测的目的</w:t>
      </w:r>
      <w:r>
        <w:rPr>
          <w:rFonts w:hint="eastAsia" w:cs="黑体" w:asciiTheme="majorEastAsia" w:hAnsiTheme="majorEastAsia" w:eastAsiaTheme="majorEastAsia"/>
          <w:sz w:val="24"/>
          <w:lang w:eastAsia="zh-CN"/>
        </w:rPr>
        <w:t>，</w:t>
      </w:r>
      <w:r>
        <w:rPr>
          <w:rFonts w:hint="eastAsia" w:cs="黑体" w:asciiTheme="majorEastAsia" w:hAnsiTheme="majorEastAsia" w:eastAsiaTheme="majorEastAsia"/>
          <w:sz w:val="24"/>
        </w:rPr>
        <w:t>并将研究成果与经验向各同行推广，从而引导港口起重机振动监测技术健康发展。</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本标准编写过程中主要引用下列标准以及参考文献：</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 xml:space="preserve">GB/T 7665 传感器通用术语 </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9813.3 计算机通用规范 第3部分：服务器</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15969.1 可编程序控制器  第1部分：通用信息</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20272 信息安全技术 操作系统安全技术要求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20273 信息安全技术 数据库管理系统安全技术要求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21028 信息安全技术 服务器安全技术要求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25070 信息安全技术 网络安全等级保护安全设计技术要求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28827.6 信息技术服务 运行维护 第6部分：应用系统服务要求</w:t>
      </w:r>
    </w:p>
    <w:p>
      <w:pPr>
        <w:spacing w:before="156" w:beforeLines="50" w:after="156" w:afterLines="50" w:line="360" w:lineRule="auto"/>
        <w:ind w:firstLine="480" w:firstLineChars="200"/>
        <w:rPr>
          <w:rFonts w:cs="黑体" w:asciiTheme="majorEastAsia" w:hAnsiTheme="majorEastAsia" w:eastAsiaTheme="majorEastAsia"/>
          <w:sz w:val="24"/>
        </w:rPr>
      </w:pP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[1]  GB/T 14412-2005  机械振动与冲击 加速度计的机械安装</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[2]  GB/T 19873.1-2005  机器状态监测与诊断 振动状态监测 第1部分：总则</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[3]  GB/T 19873.2-2009  机器状态监测与诊断 振动状态监测 第2部分：振动数据处理、分析与描述</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[4]  GB/T 19873.3-2019  机器状态监测与诊断 振动状态监测 第3部分：振动诊断指南</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[5]  GB/T 38656-2020 特种设备物联网系统数据交换技术规范</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[6]  JB/T 6822 压电式加速度传感器</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[7]  GB/T 14412-2005 机械振动与冲击 加速度计的机械安装</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[8]  GB/T 2423.10-2008 电工电子产品环境试验 第2部分: 试验方法 试验Fc: 振动(正弦)</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[9]  ISO 10816-1 Mechanical vibration—Evaluation of machine vibration by measurements on non—rotating parts—Part 1：General guidelines</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[10]  IS0 20816-9 Mechanical vibration—Measurement and evaluation of machine vibration—Part 9：Gear units</w:t>
      </w:r>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2.2 确定标准主要内容的论据</w:t>
      </w:r>
    </w:p>
    <w:p>
      <w:pPr>
        <w:spacing w:before="156" w:beforeLines="50" w:after="156" w:afterLines="50" w:line="360" w:lineRule="auto"/>
        <w:ind w:firstLine="480" w:firstLineChars="200"/>
        <w:rPr>
          <w:rFonts w:hint="eastAsia" w:cs="黑体" w:asciiTheme="majorEastAsia" w:hAnsiTheme="majorEastAsia" w:eastAsiaTheme="majorEastAsia"/>
          <w:sz w:val="24"/>
        </w:rPr>
      </w:pPr>
      <w:r>
        <w:rPr>
          <w:rFonts w:hint="eastAsia" w:cs="黑体" w:asciiTheme="majorEastAsia" w:hAnsiTheme="majorEastAsia" w:eastAsiaTheme="majorEastAsia"/>
          <w:sz w:val="24"/>
        </w:rPr>
        <w:t>本文件规定了岸边集装箱起重机传动部件振动监测系统的基本要求、系统构成、传感器、数据采集器、监测可视化以及系统功能。</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本文件适用于岸边集装箱起重机传动部件振动监测系统的设计、制造、改造和使用。</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 xml:space="preserve">本文件主要内容：第一章 范围；第二章 规范性引用文件；第三章 术语和定义；第四章 </w:t>
      </w:r>
      <w:r>
        <w:rPr>
          <w:rFonts w:hint="eastAsia" w:cs="黑体" w:asciiTheme="majorEastAsia" w:hAnsiTheme="majorEastAsia" w:eastAsiaTheme="majorEastAsia"/>
          <w:sz w:val="24"/>
          <w:lang w:eastAsia="zh-CN"/>
        </w:rPr>
        <w:t>基本要求</w:t>
      </w:r>
      <w:r>
        <w:rPr>
          <w:rFonts w:hint="eastAsia" w:cs="黑体" w:asciiTheme="majorEastAsia" w:hAnsiTheme="majorEastAsia" w:eastAsiaTheme="majorEastAsia"/>
          <w:sz w:val="24"/>
        </w:rPr>
        <w:t xml:space="preserve">；第五章 系统构成；第六章 </w:t>
      </w:r>
      <w:r>
        <w:rPr>
          <w:rFonts w:hint="eastAsia" w:cs="黑体" w:asciiTheme="majorEastAsia" w:hAnsiTheme="majorEastAsia" w:eastAsiaTheme="majorEastAsia"/>
          <w:sz w:val="24"/>
          <w:lang w:eastAsia="zh-CN"/>
        </w:rPr>
        <w:t>传感器</w:t>
      </w:r>
      <w:r>
        <w:rPr>
          <w:rFonts w:hint="eastAsia" w:cs="黑体" w:asciiTheme="majorEastAsia" w:hAnsiTheme="majorEastAsia" w:eastAsiaTheme="majorEastAsia"/>
          <w:sz w:val="24"/>
        </w:rPr>
        <w:t xml:space="preserve">；第七章 </w:t>
      </w:r>
      <w:r>
        <w:rPr>
          <w:rFonts w:hint="eastAsia" w:cs="黑体" w:asciiTheme="majorEastAsia" w:hAnsiTheme="majorEastAsia" w:eastAsiaTheme="majorEastAsia"/>
          <w:sz w:val="24"/>
          <w:lang w:eastAsia="zh-CN"/>
        </w:rPr>
        <w:t>数据采集器</w:t>
      </w:r>
      <w:r>
        <w:rPr>
          <w:rFonts w:hint="eastAsia" w:cs="黑体" w:asciiTheme="majorEastAsia" w:hAnsiTheme="majorEastAsia" w:eastAsiaTheme="majorEastAsia"/>
          <w:sz w:val="24"/>
        </w:rPr>
        <w:t xml:space="preserve">；第八章 监测可视化；第九章 </w:t>
      </w:r>
      <w:r>
        <w:rPr>
          <w:rFonts w:hint="eastAsia" w:cs="黑体" w:asciiTheme="majorEastAsia" w:hAnsiTheme="majorEastAsia" w:eastAsiaTheme="majorEastAsia"/>
          <w:sz w:val="24"/>
          <w:lang w:eastAsia="zh-CN"/>
        </w:rPr>
        <w:t>系统功能</w:t>
      </w:r>
      <w:r>
        <w:rPr>
          <w:rFonts w:hint="eastAsia" w:cs="黑体" w:asciiTheme="majorEastAsia" w:hAnsiTheme="majorEastAsia" w:eastAsiaTheme="majorEastAsia"/>
          <w:sz w:val="24"/>
        </w:rPr>
        <w:t>；附录A 设备运行参数；附录B 岸边集装箱起重机测点布置图；参考文献。</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本文件编制的内容包括如下：</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（1）有关“第1章 范围”</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文件规定了岸边集装箱起重机传动部件振动监测系统的基本要求、系统构成、传感器、数据采集器、监测可视化以及系统功能。本文件适用于岸边集装箱起重机传动部件振动监测系统的设计、制造、改造和使用。本文件的范围基于标准编写的主要目的进行界定。</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（2）有关“第2章 规范性应用文件”</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本标准编写过程中主要引用下列标准：</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 xml:space="preserve">GB/T 7665 传感器通用术语 </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9813.3 计算机通用规范 第3部分：服务器</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15969.1 可编程序控制器  第1部分：通用信息</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20272 信息安全技术 操作系统安全技术要求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20273 信息安全技术 数据库管理系统安全技术要求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21028 信息安全技术 服务器安全技术要求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25070 信息安全技术 网络安全等级保护安全设计技术要求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GB/T 28827.6 信息技术服务 运行维护 第6部分：应用系统服务要求</w:t>
      </w:r>
    </w:p>
    <w:p>
      <w:pPr>
        <w:spacing w:before="156" w:beforeLines="50" w:after="156" w:afterLines="50" w:line="360" w:lineRule="auto"/>
        <w:ind w:firstLine="960" w:firstLineChars="400"/>
        <w:rPr>
          <w:rFonts w:cs="黑体" w:asciiTheme="majorEastAsia" w:hAnsiTheme="majorEastAsia" w:eastAsiaTheme="majorEastAsia"/>
          <w:sz w:val="24"/>
        </w:rPr>
      </w:pPr>
      <w:r>
        <w:rPr>
          <w:rFonts w:hint="eastAsia" w:cs="黑体" w:asciiTheme="majorEastAsia" w:hAnsiTheme="majorEastAsia" w:eastAsiaTheme="majorEastAsia"/>
          <w:sz w:val="24"/>
        </w:rPr>
        <w:t>其中GB/T 7665、GB/T 15969.1界定了本文件所使用的相关术语；GB/T 9813.3、GB/T 20272、GB/T 20273、GB/T 28827.6规定了服务器、操作系统、数据库管理系统以及应用系统应符合相关要求；GB/T 25070规定了监测系统网络链路传输的安全要求。</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（3）有关“第3章 术语和定义”</w:t>
      </w:r>
    </w:p>
    <w:p>
      <w:pPr>
        <w:spacing w:line="360" w:lineRule="auto"/>
        <w:ind w:firstLine="480" w:firstLineChars="200"/>
        <w:rPr>
          <w:rFonts w:hint="eastAsia" w:cs="黑体" w:asciiTheme="majorEastAsia" w:hAnsiTheme="majorEastAsia" w:eastAsiaTheme="majorEastAsia"/>
          <w:sz w:val="24"/>
        </w:rPr>
      </w:pPr>
      <w:r>
        <w:rPr>
          <w:rFonts w:hint="eastAsia" w:cs="黑体" w:asciiTheme="majorEastAsia" w:hAnsiTheme="majorEastAsia" w:eastAsiaTheme="majorEastAsia"/>
          <w:sz w:val="24"/>
        </w:rPr>
        <w:t>该部分主要阐述了岸边集装箱起重机的传动部件振动监测系统的设计、制造、改造和使用过程中所涉及的相关术语，除了GB/T 7665、GB/T 15969.1界定了本文件所使用的相关术语外，本文件还定义了“在线振动状态监测”、“传动部件”、“数据采集器”、“运行参数”、“测量参数”、“故障诊断”、“监测可视化”。其中“传动部件”在文中特指把动力传递给岸边集装箱起重机主要工作机构</w:t>
      </w:r>
      <w:r>
        <w:rPr>
          <w:rFonts w:hint="eastAsia" w:cs="黑体" w:asciiTheme="majorEastAsia" w:hAnsiTheme="majorEastAsia" w:eastAsiaTheme="majorEastAsia"/>
          <w:sz w:val="24"/>
          <w:lang w:eastAsia="zh-CN"/>
        </w:rPr>
        <w:t>（</w:t>
      </w:r>
      <w:r>
        <w:rPr>
          <w:rFonts w:hint="eastAsia" w:cs="黑体" w:asciiTheme="majorEastAsia" w:hAnsiTheme="majorEastAsia" w:eastAsiaTheme="majorEastAsia"/>
          <w:sz w:val="24"/>
        </w:rPr>
        <w:t>起升机构、小车机构、俯仰机构</w:t>
      </w:r>
      <w:r>
        <w:rPr>
          <w:rFonts w:hint="eastAsia" w:cs="黑体" w:asciiTheme="majorEastAsia" w:hAnsiTheme="majorEastAsia" w:eastAsiaTheme="majorEastAsia"/>
          <w:sz w:val="24"/>
          <w:lang w:eastAsia="zh-CN"/>
        </w:rPr>
        <w:t>）</w:t>
      </w:r>
      <w:r>
        <w:rPr>
          <w:rFonts w:hint="eastAsia" w:cs="黑体" w:asciiTheme="majorEastAsia" w:hAnsiTheme="majorEastAsia" w:eastAsiaTheme="majorEastAsia"/>
          <w:sz w:val="24"/>
        </w:rPr>
        <w:t>，其传动部件主要由电机、齿轮箱、卷筒等三大部件组成，为避免使用中与其他设备的传动部件产生歧义，因此特别对其进行定义；“运行参数”、“测量参数”是岸边集装箱起重机传动部件振动监测系统技术的关键状态触发采集技术参数，区别于周期触发采集，因此特别对其进行定义。</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w:t>
      </w:r>
      <w:r>
        <w:rPr>
          <w:rFonts w:hint="eastAsia" w:cs="黑体" w:asciiTheme="majorEastAsia" w:hAnsiTheme="majorEastAsia" w:eastAsiaTheme="majorEastAsia"/>
          <w:sz w:val="24"/>
          <w:lang w:val="en-US" w:eastAsia="zh-CN"/>
        </w:rPr>
        <w:t>4</w:t>
      </w:r>
      <w:r>
        <w:rPr>
          <w:rFonts w:hint="eastAsia" w:cs="黑体" w:asciiTheme="majorEastAsia" w:hAnsiTheme="majorEastAsia" w:eastAsiaTheme="majorEastAsia"/>
          <w:sz w:val="24"/>
        </w:rPr>
        <w:t>）有关“第</w:t>
      </w:r>
      <w:r>
        <w:rPr>
          <w:rFonts w:hint="eastAsia" w:cs="黑体" w:asciiTheme="majorEastAsia" w:hAnsiTheme="majorEastAsia" w:eastAsiaTheme="majorEastAsia"/>
          <w:sz w:val="24"/>
          <w:lang w:val="en-US" w:eastAsia="zh-CN"/>
        </w:rPr>
        <w:t>4</w:t>
      </w:r>
      <w:r>
        <w:rPr>
          <w:rFonts w:hint="eastAsia" w:cs="黑体" w:asciiTheme="majorEastAsia" w:hAnsiTheme="majorEastAsia" w:eastAsiaTheme="majorEastAsia"/>
          <w:sz w:val="24"/>
        </w:rPr>
        <w:t>章 基本要求”</w:t>
      </w:r>
    </w:p>
    <w:p>
      <w:pPr>
        <w:spacing w:before="156" w:beforeLines="50" w:after="156" w:afterLines="50" w:line="360" w:lineRule="auto"/>
        <w:ind w:firstLine="480" w:firstLineChars="200"/>
        <w:rPr>
          <w:rFonts w:hint="eastAsia" w:cs="黑体" w:asciiTheme="majorEastAsia" w:hAnsiTheme="majorEastAsia" w:eastAsiaTheme="majorEastAsia"/>
          <w:sz w:val="24"/>
        </w:rPr>
      </w:pPr>
      <w:r>
        <w:rPr>
          <w:rFonts w:hint="eastAsia" w:cs="黑体" w:asciiTheme="majorEastAsia" w:hAnsiTheme="majorEastAsia" w:eastAsiaTheme="majorEastAsia"/>
          <w:sz w:val="24"/>
        </w:rPr>
        <w:t>该部分主要规定岸边集装箱起重机传动部件振动监测系统的技术设计要求，主要从传感器布置、数据采集器配置、服务器及软件功能、通信网络等方面进行规定，具有一定的普遍性和广泛性。</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w:t>
      </w:r>
      <w:r>
        <w:rPr>
          <w:rFonts w:hint="eastAsia" w:cs="黑体" w:asciiTheme="majorEastAsia" w:hAnsiTheme="majorEastAsia" w:eastAsiaTheme="majorEastAsia"/>
          <w:sz w:val="24"/>
          <w:lang w:val="en-US" w:eastAsia="zh-CN"/>
        </w:rPr>
        <w:t>5</w:t>
      </w:r>
      <w:r>
        <w:rPr>
          <w:rFonts w:hint="eastAsia" w:cs="黑体" w:asciiTheme="majorEastAsia" w:hAnsiTheme="majorEastAsia" w:eastAsiaTheme="majorEastAsia"/>
          <w:sz w:val="24"/>
        </w:rPr>
        <w:t>）有关“第</w:t>
      </w:r>
      <w:r>
        <w:rPr>
          <w:rFonts w:hint="eastAsia" w:cs="黑体" w:asciiTheme="majorEastAsia" w:hAnsiTheme="majorEastAsia" w:eastAsiaTheme="majorEastAsia"/>
          <w:sz w:val="24"/>
          <w:lang w:val="en-US" w:eastAsia="zh-CN"/>
        </w:rPr>
        <w:t>5</w:t>
      </w:r>
      <w:r>
        <w:rPr>
          <w:rFonts w:hint="eastAsia" w:cs="黑体" w:asciiTheme="majorEastAsia" w:hAnsiTheme="majorEastAsia" w:eastAsiaTheme="majorEastAsia"/>
          <w:sz w:val="24"/>
        </w:rPr>
        <w:t>章 系统构成”</w:t>
      </w:r>
    </w:p>
    <w:p>
      <w:pPr>
        <w:spacing w:before="156" w:beforeLines="50" w:after="156" w:afterLines="50" w:line="360" w:lineRule="auto"/>
        <w:ind w:firstLine="480" w:firstLineChars="200"/>
        <w:rPr>
          <w:rFonts w:hint="eastAsia" w:cs="黑体" w:asciiTheme="majorEastAsia" w:hAnsiTheme="majorEastAsia" w:eastAsiaTheme="majorEastAsia"/>
          <w:sz w:val="24"/>
        </w:rPr>
      </w:pPr>
      <w:r>
        <w:rPr>
          <w:rFonts w:hint="eastAsia" w:cs="黑体" w:asciiTheme="majorEastAsia" w:hAnsiTheme="majorEastAsia" w:eastAsiaTheme="majorEastAsia"/>
          <w:sz w:val="24"/>
        </w:rPr>
        <w:t>岸边集装箱起重机传动部件振动监测系统宜采用分层分布式结构，这样的系统结构与集中式系统比较，其明显的优点是可靠性高、任一部分设备有故障时只影响局部、可扩展性和灵活性高，分布式系统为多CPU工作方式，各装置都有一定数据处理能力，从而大大减轻了后台服务器的负担。</w:t>
      </w:r>
      <w:r>
        <w:rPr>
          <w:rFonts w:hint="eastAsia" w:cs="黑体" w:asciiTheme="majorEastAsia" w:hAnsiTheme="majorEastAsia" w:eastAsiaTheme="majorEastAsia"/>
          <w:sz w:val="24"/>
          <w:lang w:eastAsia="zh-CN"/>
        </w:rPr>
        <w:t>监测系统</w:t>
      </w:r>
      <w:r>
        <w:rPr>
          <w:rFonts w:hint="eastAsia" w:cs="黑体" w:asciiTheme="majorEastAsia" w:hAnsiTheme="majorEastAsia" w:eastAsiaTheme="majorEastAsia"/>
          <w:sz w:val="24"/>
        </w:rPr>
        <w:t>由传感器单元、数据采集单元和监测可视化单元组成，各单元之间由通信传输网络连接，进行数</w:t>
      </w:r>
      <w:r>
        <w:rPr>
          <w:rFonts w:hint="eastAsia"/>
        </w:rPr>
        <w:drawing>
          <wp:anchor distT="0" distB="0" distL="114300" distR="114300" simplePos="0" relativeHeight="251659264" behindDoc="0" locked="0" layoutInCell="1" allowOverlap="1">
            <wp:simplePos x="0" y="0"/>
            <wp:positionH relativeFrom="column">
              <wp:posOffset>-382270</wp:posOffset>
            </wp:positionH>
            <wp:positionV relativeFrom="paragraph">
              <wp:posOffset>523240</wp:posOffset>
            </wp:positionV>
            <wp:extent cx="5930900" cy="3248660"/>
            <wp:effectExtent l="0" t="0" r="3175" b="8890"/>
            <wp:wrapTopAndBottom/>
            <wp:docPr id="1" name="图片 1" descr="系统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系统结构图"/>
                    <pic:cNvPicPr>
                      <a:picLocks noChangeAspect="1"/>
                    </pic:cNvPicPr>
                  </pic:nvPicPr>
                  <pic:blipFill>
                    <a:blip r:embed="rId6"/>
                    <a:stretch>
                      <a:fillRect/>
                    </a:stretch>
                  </pic:blipFill>
                  <pic:spPr>
                    <a:xfrm>
                      <a:off x="0" y="0"/>
                      <a:ext cx="5930900" cy="3248660"/>
                    </a:xfrm>
                    <a:prstGeom prst="rect">
                      <a:avLst/>
                    </a:prstGeom>
                    <a:noFill/>
                    <a:ln>
                      <a:noFill/>
                    </a:ln>
                  </pic:spPr>
                </pic:pic>
              </a:graphicData>
            </a:graphic>
          </wp:anchor>
        </w:drawing>
      </w:r>
      <w:r>
        <w:rPr>
          <w:rFonts w:hint="eastAsia" w:cs="黑体" w:asciiTheme="majorEastAsia" w:hAnsiTheme="majorEastAsia" w:eastAsiaTheme="majorEastAsia"/>
          <w:sz w:val="24"/>
        </w:rPr>
        <w:t>据的传输、存储和处理</w:t>
      </w:r>
      <w:r>
        <w:rPr>
          <w:rFonts w:hint="eastAsia" w:cs="黑体" w:asciiTheme="majorEastAsia" w:hAnsiTheme="majorEastAsia" w:eastAsiaTheme="majorEastAsia"/>
          <w:sz w:val="24"/>
          <w:lang w:eastAsia="zh-CN"/>
        </w:rPr>
        <w:t>，</w:t>
      </w:r>
      <w:r>
        <w:rPr>
          <w:rFonts w:hint="eastAsia" w:cs="黑体" w:asciiTheme="majorEastAsia" w:hAnsiTheme="majorEastAsia" w:eastAsiaTheme="majorEastAsia"/>
          <w:sz w:val="24"/>
          <w:lang w:val="en-US" w:eastAsia="zh-CN"/>
        </w:rPr>
        <w:t>系统结构图见图1</w:t>
      </w:r>
      <w:r>
        <w:rPr>
          <w:rFonts w:hint="eastAsia" w:cs="黑体" w:asciiTheme="majorEastAsia" w:hAnsiTheme="majorEastAsia" w:eastAsiaTheme="majorEastAsia"/>
          <w:sz w:val="24"/>
        </w:rPr>
        <w:t>。</w:t>
      </w:r>
    </w:p>
    <w:p>
      <w:pPr>
        <w:pStyle w:val="17"/>
        <w:numPr>
          <w:ilvl w:val="0"/>
          <w:numId w:val="0"/>
        </w:numPr>
        <w:rPr>
          <w:rFonts w:hint="eastAsia"/>
          <w:sz w:val="18"/>
          <w:szCs w:val="18"/>
        </w:rPr>
      </w:pPr>
      <w:r>
        <w:rPr>
          <w:rFonts w:hint="eastAsia"/>
          <w:sz w:val="18"/>
          <w:szCs w:val="18"/>
        </w:rPr>
        <w:t>标引序号说明：</w:t>
      </w:r>
    </w:p>
    <w:p>
      <w:pPr>
        <w:pStyle w:val="17"/>
        <w:numPr>
          <w:ilvl w:val="0"/>
          <w:numId w:val="0"/>
        </w:numPr>
        <w:rPr>
          <w:rFonts w:hint="eastAsia"/>
          <w:sz w:val="18"/>
          <w:szCs w:val="18"/>
        </w:rPr>
      </w:pPr>
      <w:r>
        <w:rPr>
          <w:rFonts w:hint="eastAsia"/>
          <w:sz w:val="18"/>
          <w:szCs w:val="18"/>
        </w:rPr>
        <w:t>1——岸边集装箱起重机可编程序逻辑控制器；</w:t>
      </w:r>
    </w:p>
    <w:p>
      <w:pPr>
        <w:pStyle w:val="17"/>
        <w:numPr>
          <w:ilvl w:val="0"/>
          <w:numId w:val="0"/>
        </w:numPr>
        <w:rPr>
          <w:rFonts w:hint="eastAsia"/>
          <w:sz w:val="18"/>
          <w:szCs w:val="18"/>
        </w:rPr>
      </w:pPr>
      <w:r>
        <w:rPr>
          <w:rFonts w:hint="eastAsia"/>
          <w:sz w:val="18"/>
          <w:szCs w:val="18"/>
        </w:rPr>
        <w:t>2——岸边集装箱起重机传动部件；</w:t>
      </w:r>
    </w:p>
    <w:p>
      <w:pPr>
        <w:pStyle w:val="17"/>
        <w:numPr>
          <w:ilvl w:val="0"/>
          <w:numId w:val="0"/>
        </w:numPr>
        <w:rPr>
          <w:rFonts w:hint="eastAsia"/>
          <w:sz w:val="18"/>
          <w:szCs w:val="18"/>
        </w:rPr>
      </w:pPr>
      <w:r>
        <w:rPr>
          <w:rFonts w:hint="eastAsia"/>
          <w:sz w:val="18"/>
          <w:szCs w:val="18"/>
        </w:rPr>
        <w:t>3——传感器单元；</w:t>
      </w:r>
    </w:p>
    <w:p>
      <w:pPr>
        <w:pStyle w:val="17"/>
        <w:numPr>
          <w:ilvl w:val="0"/>
          <w:numId w:val="0"/>
        </w:numPr>
        <w:rPr>
          <w:rFonts w:hint="eastAsia"/>
          <w:sz w:val="18"/>
          <w:szCs w:val="18"/>
        </w:rPr>
      </w:pPr>
      <w:r>
        <w:rPr>
          <w:rFonts w:hint="eastAsia"/>
          <w:sz w:val="18"/>
          <w:szCs w:val="18"/>
        </w:rPr>
        <w:t>4——岸边集装箱起重机传动部件振动监测系统；</w:t>
      </w:r>
    </w:p>
    <w:p>
      <w:pPr>
        <w:pStyle w:val="17"/>
        <w:numPr>
          <w:ilvl w:val="0"/>
          <w:numId w:val="0"/>
        </w:numPr>
        <w:rPr>
          <w:rFonts w:hint="eastAsia"/>
          <w:sz w:val="18"/>
          <w:szCs w:val="18"/>
        </w:rPr>
      </w:pPr>
      <w:r>
        <w:rPr>
          <w:rFonts w:hint="eastAsia"/>
          <w:sz w:val="18"/>
          <w:szCs w:val="18"/>
        </w:rPr>
        <w:t>5——数据采集单元；</w:t>
      </w:r>
    </w:p>
    <w:p>
      <w:pPr>
        <w:pStyle w:val="17"/>
        <w:numPr>
          <w:ilvl w:val="0"/>
          <w:numId w:val="0"/>
        </w:numPr>
        <w:rPr>
          <w:rFonts w:hint="eastAsia"/>
          <w:sz w:val="18"/>
          <w:szCs w:val="18"/>
        </w:rPr>
      </w:pPr>
      <w:r>
        <w:rPr>
          <w:rFonts w:hint="eastAsia"/>
          <w:sz w:val="18"/>
          <w:szCs w:val="18"/>
        </w:rPr>
        <w:t>6——监测可视化单元；</w:t>
      </w:r>
    </w:p>
    <w:p>
      <w:pPr>
        <w:pStyle w:val="17"/>
        <w:numPr>
          <w:ilvl w:val="0"/>
          <w:numId w:val="0"/>
        </w:numPr>
        <w:rPr>
          <w:rFonts w:hint="eastAsia"/>
          <w:sz w:val="18"/>
          <w:szCs w:val="18"/>
        </w:rPr>
      </w:pPr>
      <w:r>
        <w:rPr>
          <w:rFonts w:hint="eastAsia"/>
          <w:sz w:val="18"/>
          <w:szCs w:val="18"/>
        </w:rPr>
        <w:t>7——拓展应用。</w:t>
      </w:r>
    </w:p>
    <w:p>
      <w:pPr>
        <w:pStyle w:val="17"/>
        <w:numPr>
          <w:ilvl w:val="0"/>
          <w:numId w:val="0"/>
        </w:numPr>
        <w:jc w:val="center"/>
        <w:rPr>
          <w:sz w:val="18"/>
          <w:szCs w:val="18"/>
        </w:rPr>
      </w:pPr>
      <w:r>
        <w:rPr>
          <w:rFonts w:hint="eastAsia" w:ascii="黑体" w:hAnsi="黑体" w:eastAsia="黑体"/>
        </w:rPr>
        <w:t>图1 系统结构图</w:t>
      </w:r>
    </w:p>
    <w:p>
      <w:pPr>
        <w:pStyle w:val="22"/>
        <w:numPr>
          <w:ilvl w:val="0"/>
          <w:numId w:val="0"/>
        </w:numPr>
        <w:ind w:firstLine="0" w:firstLineChars="0"/>
        <w:rPr>
          <w:rFonts w:hint="eastAsia"/>
        </w:rPr>
      </w:pPr>
    </w:p>
    <w:p>
      <w:pPr>
        <w:pStyle w:val="22"/>
        <w:numPr>
          <w:ilvl w:val="0"/>
          <w:numId w:val="0"/>
        </w:numPr>
        <w:ind w:firstLine="0" w:firstLineChars="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总体说明如下：</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数据服务器：负责存储和管理码头岸边集装箱起重机的传动部件振动监测数据，应配置一台；</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WEB服务器：负责存储岸边集装箱起重机传动部件振动监测系统的可视化数据，为用户提供网上信息浏览服务，应配置一台；</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管理员工作站：负责用户管理、数据管理与备份、系统运维和安全权限策略制定；</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网络传输设备：监控可视化单元与岸边集装箱起重机数据采集单元之间的数据信号传输，宜选用有线或无线方式；</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网络安全装置：岸边集装箱起重机传动部件振动监测系统与码头计算机监控系统、码头局域网等相连时，配置相应的网络安全认证和权限策略；</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系统软件：多个功能组件构成，安装部署在数据服务器、WEB服务器和管理员工作站上运行；</w:t>
      </w:r>
    </w:p>
    <w:p>
      <w:pPr>
        <w:pStyle w:val="22"/>
        <w:numPr>
          <w:ilvl w:val="0"/>
          <w:numId w:val="2"/>
        </w:numPr>
        <w:ind w:left="420" w:leftChars="200"/>
        <w:rPr>
          <w:rFonts w:hint="eastAsia" w:cs="黑体" w:asciiTheme="majorEastAsia" w:hAnsiTheme="majorEastAsia" w:eastAsiaTheme="majorEastAsia"/>
          <w:kern w:val="2"/>
          <w:sz w:val="24"/>
          <w:szCs w:val="24"/>
          <w:lang w:val="en-US" w:eastAsia="zh-CN" w:bidi="ar-SA"/>
        </w:rPr>
      </w:pPr>
      <w:r>
        <w:rPr>
          <w:rFonts w:hint="eastAsia" w:cs="黑体" w:asciiTheme="majorEastAsia" w:hAnsiTheme="majorEastAsia" w:eastAsiaTheme="majorEastAsia"/>
          <w:kern w:val="2"/>
          <w:sz w:val="24"/>
          <w:szCs w:val="24"/>
          <w:lang w:val="en-US" w:eastAsia="zh-CN" w:bidi="ar-SA"/>
        </w:rPr>
        <w:t>用户终端显示屏：岸边集装箱起重机传动部件振动监测系统和码头使用者之间进行信息交换、沟通与互动的媒介显示硬件，应配置若干台。</w:t>
      </w:r>
    </w:p>
    <w:p>
      <w:pPr>
        <w:spacing w:before="156" w:beforeLines="50" w:after="156" w:afterLines="50" w:line="360" w:lineRule="auto"/>
        <w:ind w:firstLine="480" w:firstLineChars="200"/>
        <w:rPr>
          <w:rFonts w:cs="黑体" w:asciiTheme="majorEastAsia" w:hAnsiTheme="majorEastAsia" w:eastAsiaTheme="majorEastAsia"/>
          <w:color w:val="auto"/>
          <w:sz w:val="24"/>
        </w:rPr>
      </w:pPr>
      <w:r>
        <w:rPr>
          <w:rFonts w:hint="eastAsia" w:cs="黑体" w:asciiTheme="majorEastAsia" w:hAnsiTheme="majorEastAsia" w:eastAsiaTheme="majorEastAsia"/>
          <w:color w:val="auto"/>
          <w:sz w:val="24"/>
        </w:rPr>
        <w:t>（</w:t>
      </w:r>
      <w:r>
        <w:rPr>
          <w:rFonts w:hint="eastAsia" w:cs="黑体" w:asciiTheme="majorEastAsia" w:hAnsiTheme="majorEastAsia" w:eastAsiaTheme="majorEastAsia"/>
          <w:color w:val="auto"/>
          <w:sz w:val="24"/>
          <w:lang w:val="en-US" w:eastAsia="zh-CN"/>
        </w:rPr>
        <w:t>6</w:t>
      </w:r>
      <w:r>
        <w:rPr>
          <w:rFonts w:hint="eastAsia" w:cs="黑体" w:asciiTheme="majorEastAsia" w:hAnsiTheme="majorEastAsia" w:eastAsiaTheme="majorEastAsia"/>
          <w:color w:val="auto"/>
          <w:sz w:val="24"/>
        </w:rPr>
        <w:t>）有关“第</w:t>
      </w:r>
      <w:r>
        <w:rPr>
          <w:rFonts w:hint="eastAsia" w:cs="黑体" w:asciiTheme="majorEastAsia" w:hAnsiTheme="majorEastAsia" w:eastAsiaTheme="majorEastAsia"/>
          <w:color w:val="auto"/>
          <w:sz w:val="24"/>
          <w:lang w:val="en-US" w:eastAsia="zh-CN"/>
        </w:rPr>
        <w:t>6</w:t>
      </w:r>
      <w:r>
        <w:rPr>
          <w:rFonts w:hint="eastAsia" w:cs="黑体" w:asciiTheme="majorEastAsia" w:hAnsiTheme="majorEastAsia" w:eastAsiaTheme="majorEastAsia"/>
          <w:color w:val="auto"/>
          <w:sz w:val="24"/>
        </w:rPr>
        <w:t>章 传感器”</w:t>
      </w:r>
    </w:p>
    <w:p>
      <w:pPr>
        <w:spacing w:before="156" w:beforeLines="50" w:after="156" w:afterLines="50" w:line="360" w:lineRule="auto"/>
        <w:ind w:firstLine="480" w:firstLineChars="200"/>
        <w:rPr>
          <w:rFonts w:hint="eastAsia" w:cs="黑体" w:asciiTheme="majorEastAsia" w:hAnsiTheme="majorEastAsia" w:eastAsiaTheme="majorEastAsia"/>
          <w:color w:val="auto"/>
          <w:sz w:val="24"/>
        </w:rPr>
      </w:pPr>
      <w:r>
        <w:rPr>
          <w:rFonts w:hint="eastAsia" w:cs="黑体" w:asciiTheme="majorEastAsia" w:hAnsiTheme="majorEastAsia" w:eastAsiaTheme="majorEastAsia"/>
          <w:color w:val="auto"/>
          <w:sz w:val="24"/>
        </w:rPr>
        <w:t>该部分主要是对所用传感器类别、技术参数、有效安装方式等内容进行约定。所罗列的传感器既能满足传动部件实际监测的需求，且具有良好的通用型。国内外传感器厂家（如厦门耐尔、江苏联能、东华测试、美国CTC等）均能满足其指标要求。</w:t>
      </w:r>
    </w:p>
    <w:p>
      <w:pPr>
        <w:spacing w:before="156" w:beforeLines="50" w:after="156" w:afterLines="50" w:line="360" w:lineRule="auto"/>
        <w:ind w:firstLine="480" w:firstLineChars="200"/>
        <w:rPr>
          <w:rFonts w:hint="eastAsia" w:cs="黑体" w:asciiTheme="majorEastAsia" w:hAnsiTheme="majorEastAsia" w:eastAsiaTheme="majorEastAsia"/>
          <w:color w:val="auto"/>
          <w:sz w:val="24"/>
        </w:rPr>
      </w:pPr>
      <w:r>
        <w:rPr>
          <w:rFonts w:hint="eastAsia" w:cs="黑体" w:asciiTheme="majorEastAsia" w:hAnsiTheme="majorEastAsia" w:eastAsiaTheme="majorEastAsia"/>
          <w:sz w:val="24"/>
          <w:lang w:eastAsia="zh-CN"/>
        </w:rPr>
        <w:t>传感器</w:t>
      </w:r>
      <w:r>
        <w:rPr>
          <w:rFonts w:hint="eastAsia" w:cs="黑体" w:asciiTheme="majorEastAsia" w:hAnsiTheme="majorEastAsia" w:eastAsiaTheme="majorEastAsia"/>
          <w:sz w:val="24"/>
        </w:rPr>
        <w:t>测点</w:t>
      </w:r>
      <w:r>
        <w:rPr>
          <w:rFonts w:hint="eastAsia" w:cs="黑体" w:asciiTheme="majorEastAsia" w:hAnsiTheme="majorEastAsia" w:eastAsiaTheme="majorEastAsia"/>
          <w:sz w:val="24"/>
          <w:lang w:eastAsia="zh-CN"/>
        </w:rPr>
        <w:t>的安装与</w:t>
      </w:r>
      <w:r>
        <w:rPr>
          <w:rFonts w:hint="eastAsia" w:cs="黑体" w:asciiTheme="majorEastAsia" w:hAnsiTheme="majorEastAsia" w:eastAsiaTheme="majorEastAsia"/>
          <w:sz w:val="24"/>
        </w:rPr>
        <w:t>布置是现场多家公联合研究的成果，项目前期我们基于理论计算：只考虑高速轴（第一级）与低速轴（第四级）布置测点，其他轴承可以通过传动方式进行计算，但是主机厂家实际故障统计经验表面：减速箱的主要失效优先发生在2,3轴；然后往1,4轴传递；因此每一级轴承都布置测点，形成该系统的标准化测点布置方案，并且传感器安装位置和方向参见GB/T 19873.1 5.2.2传感器位置的内容。</w:t>
      </w:r>
    </w:p>
    <w:p>
      <w:pPr>
        <w:spacing w:before="156" w:beforeLines="50" w:after="156" w:afterLines="50" w:line="360" w:lineRule="auto"/>
        <w:ind w:firstLine="480" w:firstLineChars="200"/>
        <w:rPr>
          <w:rFonts w:cs="黑体" w:asciiTheme="majorEastAsia" w:hAnsiTheme="majorEastAsia" w:eastAsiaTheme="majorEastAsia"/>
          <w:color w:val="auto"/>
          <w:sz w:val="24"/>
        </w:rPr>
      </w:pPr>
      <w:r>
        <w:rPr>
          <w:rFonts w:hint="eastAsia" w:cs="黑体" w:asciiTheme="majorEastAsia" w:hAnsiTheme="majorEastAsia" w:eastAsiaTheme="majorEastAsia"/>
          <w:color w:val="auto"/>
          <w:sz w:val="24"/>
        </w:rPr>
        <w:t>（</w:t>
      </w:r>
      <w:r>
        <w:rPr>
          <w:rFonts w:hint="eastAsia" w:cs="黑体" w:asciiTheme="majorEastAsia" w:hAnsiTheme="majorEastAsia" w:eastAsiaTheme="majorEastAsia"/>
          <w:color w:val="auto"/>
          <w:sz w:val="24"/>
          <w:lang w:val="en-US" w:eastAsia="zh-CN"/>
        </w:rPr>
        <w:t>7</w:t>
      </w:r>
      <w:r>
        <w:rPr>
          <w:rFonts w:hint="eastAsia" w:cs="黑体" w:asciiTheme="majorEastAsia" w:hAnsiTheme="majorEastAsia" w:eastAsiaTheme="majorEastAsia"/>
          <w:color w:val="auto"/>
          <w:sz w:val="24"/>
        </w:rPr>
        <w:t>）有关“第</w:t>
      </w:r>
      <w:r>
        <w:rPr>
          <w:rFonts w:hint="eastAsia" w:cs="黑体" w:asciiTheme="majorEastAsia" w:hAnsiTheme="majorEastAsia" w:eastAsiaTheme="majorEastAsia"/>
          <w:color w:val="auto"/>
          <w:sz w:val="24"/>
          <w:lang w:val="en-US" w:eastAsia="zh-CN"/>
        </w:rPr>
        <w:t>7</w:t>
      </w:r>
      <w:r>
        <w:rPr>
          <w:rFonts w:hint="eastAsia" w:cs="黑体" w:asciiTheme="majorEastAsia" w:hAnsiTheme="majorEastAsia" w:eastAsiaTheme="majorEastAsia"/>
          <w:color w:val="auto"/>
          <w:sz w:val="24"/>
        </w:rPr>
        <w:t>章 数据采集器”</w:t>
      </w:r>
    </w:p>
    <w:p>
      <w:pPr>
        <w:spacing w:before="156" w:beforeLines="50" w:after="156" w:afterLines="50" w:line="360" w:lineRule="auto"/>
        <w:ind w:firstLine="480" w:firstLineChars="200"/>
        <w:rPr>
          <w:rFonts w:hint="eastAsia" w:cs="黑体" w:asciiTheme="majorEastAsia" w:hAnsiTheme="majorEastAsia" w:eastAsiaTheme="majorEastAsia"/>
          <w:color w:val="auto"/>
          <w:sz w:val="24"/>
        </w:rPr>
      </w:pPr>
      <w:r>
        <w:rPr>
          <w:rFonts w:hint="eastAsia" w:cs="黑体" w:asciiTheme="majorEastAsia" w:hAnsiTheme="majorEastAsia" w:eastAsiaTheme="majorEastAsia"/>
          <w:color w:val="auto"/>
          <w:sz w:val="24"/>
        </w:rPr>
        <w:t>该部分主要对岸边集装箱起重机传动部件振动监测系统中部署在起重机上振动信号采集及分析装置一般要求、技术性能、功能性要求等方面进行了规定。该规定已汇总市场上各仪器厂家通用性技术指标，并基于数据采集器长期在恶劣工况下使用，如盐雾、高温、剧烈振动等；同时所采集的振动信号具有非稳态、数据海量性特点，提出了部分必须满足的专业性指标，如防盐雾设计、PLC数据关联等。</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w:t>
      </w:r>
      <w:r>
        <w:rPr>
          <w:rFonts w:hint="eastAsia" w:cs="黑体" w:asciiTheme="majorEastAsia" w:hAnsiTheme="majorEastAsia" w:eastAsiaTheme="majorEastAsia"/>
          <w:sz w:val="24"/>
          <w:lang w:val="en-US" w:eastAsia="zh-CN"/>
        </w:rPr>
        <w:t>8</w:t>
      </w:r>
      <w:r>
        <w:rPr>
          <w:rFonts w:hint="eastAsia" w:cs="黑体" w:asciiTheme="majorEastAsia" w:hAnsiTheme="majorEastAsia" w:eastAsiaTheme="majorEastAsia"/>
          <w:sz w:val="24"/>
        </w:rPr>
        <w:t>）有关“第</w:t>
      </w:r>
      <w:r>
        <w:rPr>
          <w:rFonts w:hint="eastAsia" w:cs="黑体" w:asciiTheme="majorEastAsia" w:hAnsiTheme="majorEastAsia" w:eastAsiaTheme="majorEastAsia"/>
          <w:sz w:val="24"/>
          <w:lang w:val="en-US" w:eastAsia="zh-CN"/>
        </w:rPr>
        <w:t>8</w:t>
      </w:r>
      <w:r>
        <w:rPr>
          <w:rFonts w:hint="eastAsia" w:cs="黑体" w:asciiTheme="majorEastAsia" w:hAnsiTheme="majorEastAsia" w:eastAsiaTheme="majorEastAsia"/>
          <w:sz w:val="24"/>
        </w:rPr>
        <w:t>章 监测可视化”</w:t>
      </w:r>
    </w:p>
    <w:p>
      <w:pPr>
        <w:spacing w:before="156" w:beforeLines="50" w:after="156" w:afterLines="50" w:line="360" w:lineRule="auto"/>
        <w:ind w:firstLine="480" w:firstLineChars="200"/>
        <w:rPr>
          <w:rFonts w:hint="eastAsia" w:cs="黑体" w:asciiTheme="majorEastAsia" w:hAnsiTheme="majorEastAsia" w:eastAsiaTheme="majorEastAsia"/>
          <w:color w:val="auto"/>
          <w:sz w:val="24"/>
        </w:rPr>
      </w:pPr>
      <w:r>
        <w:rPr>
          <w:rFonts w:hint="eastAsia" w:cs="黑体" w:asciiTheme="majorEastAsia" w:hAnsiTheme="majorEastAsia" w:eastAsiaTheme="majorEastAsia"/>
          <w:sz w:val="24"/>
        </w:rPr>
        <w:t>该部分主要规定</w:t>
      </w:r>
      <w:bookmarkStart w:id="2" w:name="_Hlk81854631"/>
      <w:r>
        <w:rPr>
          <w:rFonts w:hint="eastAsia" w:cs="黑体" w:asciiTheme="majorEastAsia" w:hAnsiTheme="majorEastAsia" w:eastAsiaTheme="majorEastAsia"/>
          <w:sz w:val="24"/>
        </w:rPr>
        <w:t>岸边集装箱起重机传动部件振动监测系统</w:t>
      </w:r>
      <w:bookmarkEnd w:id="2"/>
      <w:r>
        <w:rPr>
          <w:rFonts w:hint="eastAsia" w:cs="黑体" w:asciiTheme="majorEastAsia" w:hAnsiTheme="majorEastAsia" w:eastAsiaTheme="majorEastAsia"/>
          <w:sz w:val="24"/>
        </w:rPr>
        <w:t>部署在码头数据中心的硬件设备技术设计要求，主要从硬件系统、操作系统、数据库管理系统和应用系统等方面进行规定，以及对</w:t>
      </w:r>
      <w:r>
        <w:rPr>
          <w:rFonts w:hint="eastAsia" w:cs="黑体" w:asciiTheme="majorEastAsia" w:hAnsiTheme="majorEastAsia" w:eastAsiaTheme="majorEastAsia"/>
          <w:sz w:val="24"/>
          <w:lang w:eastAsia="zh-CN"/>
        </w:rPr>
        <w:t>系统</w:t>
      </w:r>
      <w:r>
        <w:rPr>
          <w:rFonts w:hint="eastAsia" w:cs="黑体" w:asciiTheme="majorEastAsia" w:hAnsiTheme="majorEastAsia" w:eastAsiaTheme="majorEastAsia"/>
          <w:sz w:val="24"/>
        </w:rPr>
        <w:t>界面的基础功能配置、数据综合分析、故障诊断预警软件层进行功能性上的规定。</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w:t>
      </w:r>
      <w:r>
        <w:rPr>
          <w:rFonts w:hint="eastAsia" w:cs="黑体" w:asciiTheme="majorEastAsia" w:hAnsiTheme="majorEastAsia" w:eastAsiaTheme="majorEastAsia"/>
          <w:sz w:val="24"/>
          <w:lang w:val="en-US" w:eastAsia="zh-CN"/>
        </w:rPr>
        <w:t>9</w:t>
      </w:r>
      <w:r>
        <w:rPr>
          <w:rFonts w:hint="eastAsia" w:cs="黑体" w:asciiTheme="majorEastAsia" w:hAnsiTheme="majorEastAsia" w:eastAsiaTheme="majorEastAsia"/>
          <w:sz w:val="24"/>
        </w:rPr>
        <w:t>）有关“第</w:t>
      </w:r>
      <w:r>
        <w:rPr>
          <w:rFonts w:hint="eastAsia" w:cs="黑体" w:asciiTheme="majorEastAsia" w:hAnsiTheme="majorEastAsia" w:eastAsiaTheme="majorEastAsia"/>
          <w:sz w:val="24"/>
          <w:lang w:val="en-US" w:eastAsia="zh-CN"/>
        </w:rPr>
        <w:t>9</w:t>
      </w:r>
      <w:r>
        <w:rPr>
          <w:rFonts w:hint="eastAsia" w:cs="黑体" w:asciiTheme="majorEastAsia" w:hAnsiTheme="majorEastAsia" w:eastAsiaTheme="majorEastAsia"/>
          <w:sz w:val="24"/>
        </w:rPr>
        <w:t>章 系统功能”</w:t>
      </w:r>
    </w:p>
    <w:p>
      <w:pPr>
        <w:spacing w:before="156" w:beforeLines="50" w:after="156" w:afterLines="50" w:line="360" w:lineRule="auto"/>
        <w:ind w:firstLine="480" w:firstLineChars="200"/>
        <w:rPr>
          <w:rFonts w:hint="eastAsia" w:cs="黑体" w:asciiTheme="majorEastAsia" w:hAnsiTheme="majorEastAsia" w:eastAsiaTheme="majorEastAsia"/>
          <w:sz w:val="24"/>
        </w:rPr>
      </w:pPr>
      <w:r>
        <w:rPr>
          <w:rFonts w:hint="eastAsia" w:cs="黑体" w:asciiTheme="majorEastAsia" w:hAnsiTheme="majorEastAsia" w:eastAsiaTheme="majorEastAsia"/>
          <w:sz w:val="24"/>
        </w:rPr>
        <w:t>该部分主要规定岸边集装箱起重机传动部件振动监测系统的功能性要求，主要包括了“实时监测”、“数据存储”、“分析诊断”、“阈值报警”、“报表生成”、“远程应用”、“数据交互”。主要依据是为了满足“码头无人值班、区域化集中监控”运行管理方式的需求，系统可以实现远程监控，实时监测，历史数据存储，系统分析诊断，达到报警效果，故详细描述功能要求。</w:t>
      </w:r>
    </w:p>
    <w:p>
      <w:pPr>
        <w:numPr>
          <w:ilvl w:val="0"/>
          <w:numId w:val="0"/>
        </w:numPr>
        <w:spacing w:before="156" w:beforeLines="50" w:after="156" w:afterLines="50" w:line="360" w:lineRule="auto"/>
        <w:ind w:firstLine="480" w:firstLineChars="200"/>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w:t>
      </w:r>
      <w:r>
        <w:rPr>
          <w:rFonts w:hint="eastAsia" w:cs="黑体" w:asciiTheme="majorEastAsia" w:hAnsiTheme="majorEastAsia" w:eastAsiaTheme="majorEastAsia"/>
          <w:sz w:val="24"/>
          <w:lang w:val="en-US" w:eastAsia="zh-CN"/>
        </w:rPr>
        <w:t>10</w:t>
      </w:r>
      <w:r>
        <w:rPr>
          <w:rFonts w:hint="eastAsia" w:cs="黑体" w:asciiTheme="majorEastAsia" w:hAnsiTheme="majorEastAsia" w:eastAsiaTheme="majorEastAsia"/>
          <w:sz w:val="24"/>
          <w:lang w:eastAsia="zh-CN"/>
        </w:rPr>
        <w:t>）有关“参考文献”</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[1]  GB/T 14412-2005  机械振动与冲击 加速度计的机械安装</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[2]  GB/T 19873.1-2005  机器状态监测与诊断 振动状态监测 第1部分：总则</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[3]  GB/T 19873.2-2009  机器状态监测与诊断 振动状态监测 第2部分：振动数据处理、分析与描述</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[4]  GB/T 19873.3-2019  机器状态监测与诊断 振动状态监测 第3部分：振动诊断指南</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[5]  GB/T 38656-2020 特种设备物联网系统数据交换技术规范</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[6]  JB/T 6822 压电式加速度传感器</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[7]  GB/T 14412-2005 机械振动与冲击 加速度计的机械安装</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[8]  GB/T 2423.10-2008 电工电子产品环境试验 第2部分: 试验方法 试验Fc: 振动(正弦)</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[9]</w:t>
      </w:r>
      <w:r>
        <w:rPr>
          <w:rFonts w:hint="eastAsia" w:cs="黑体" w:asciiTheme="majorEastAsia" w:hAnsiTheme="majorEastAsia" w:eastAsiaTheme="majorEastAsia"/>
          <w:sz w:val="24"/>
          <w:lang w:val="en-US" w:eastAsia="zh-CN"/>
        </w:rPr>
        <w:t xml:space="preserve">  </w:t>
      </w:r>
      <w:r>
        <w:rPr>
          <w:rFonts w:hint="eastAsia" w:cs="黑体" w:asciiTheme="majorEastAsia" w:hAnsiTheme="majorEastAsia" w:eastAsiaTheme="majorEastAsia"/>
          <w:sz w:val="24"/>
          <w:lang w:eastAsia="zh-CN"/>
        </w:rPr>
        <w:t>ISO 10816-1 Mechanical vibration—Evaluation of machine vibration by measurements on non—rotating parts—Part 1：General guidelines</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[10]</w:t>
      </w:r>
      <w:r>
        <w:rPr>
          <w:rFonts w:hint="eastAsia" w:cs="黑体" w:asciiTheme="majorEastAsia" w:hAnsiTheme="majorEastAsia" w:eastAsiaTheme="majorEastAsia"/>
          <w:sz w:val="24"/>
          <w:lang w:val="en-US" w:eastAsia="zh-CN"/>
        </w:rPr>
        <w:t xml:space="preserve">  </w:t>
      </w:r>
      <w:r>
        <w:rPr>
          <w:rFonts w:hint="eastAsia" w:cs="黑体" w:asciiTheme="majorEastAsia" w:hAnsiTheme="majorEastAsia" w:eastAsiaTheme="majorEastAsia"/>
          <w:sz w:val="24"/>
          <w:lang w:eastAsia="zh-CN"/>
        </w:rPr>
        <w:t>IS0 20816-9 Mechanical vibration—Measurement and evaluation of machine vibration—Part 9：Gear units</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420" w:leftChars="200" w:firstLine="480" w:firstLineChars="200"/>
        <w:textAlignment w:val="auto"/>
        <w:rPr>
          <w:rFonts w:hint="eastAsia" w:cs="黑体" w:asciiTheme="majorEastAsia" w:hAnsiTheme="majorEastAsia" w:eastAsiaTheme="majorEastAsia"/>
          <w:sz w:val="24"/>
          <w:lang w:eastAsia="zh-CN"/>
        </w:rPr>
      </w:pPr>
      <w:r>
        <w:rPr>
          <w:rFonts w:hint="eastAsia" w:cs="黑体" w:asciiTheme="majorEastAsia" w:hAnsiTheme="majorEastAsia" w:eastAsiaTheme="majorEastAsia"/>
          <w:sz w:val="24"/>
          <w:lang w:eastAsia="zh-CN"/>
        </w:rPr>
        <w:t>该部分对本文件的术语、运行参数、测量参数、故障诊断、数据交互、数据分析、阈值报警、传感器参数、传感器安装位置和方向以及数据采集器功能参数的定义、描述起到参考作用。</w:t>
      </w:r>
    </w:p>
    <w:p>
      <w:pPr>
        <w:spacing w:before="156" w:beforeLines="50" w:after="156" w:afterLines="50" w:line="360" w:lineRule="auto"/>
        <w:outlineLvl w:val="0"/>
        <w:rPr>
          <w:rFonts w:ascii="宋体" w:hAnsi="宋体" w:eastAsia="宋体" w:cs="宋体"/>
          <w:b/>
          <w:bCs/>
          <w:sz w:val="24"/>
        </w:rPr>
      </w:pPr>
      <w:bookmarkStart w:id="3" w:name="_Toc16665"/>
      <w:r>
        <w:rPr>
          <w:rFonts w:hint="eastAsia" w:ascii="宋体" w:hAnsi="宋体" w:eastAsia="宋体" w:cs="宋体"/>
          <w:b/>
          <w:bCs/>
          <w:sz w:val="24"/>
        </w:rPr>
        <w:t>3 预期的经济效果、社会效果分析和主要实验分析</w:t>
      </w:r>
      <w:bookmarkEnd w:id="3"/>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3.1预期的经济效果、社会效果分析</w:t>
      </w:r>
    </w:p>
    <w:p>
      <w:pPr>
        <w:spacing w:line="360" w:lineRule="auto"/>
        <w:ind w:firstLine="480" w:firstLineChars="200"/>
        <w:rPr>
          <w:rFonts w:ascii="宋体" w:hAnsi="宋体" w:eastAsia="宋体" w:cs="宋体"/>
          <w:sz w:val="24"/>
        </w:rPr>
      </w:pPr>
      <w:r>
        <w:rPr>
          <w:rFonts w:hint="eastAsia" w:ascii="宋体" w:hAnsi="宋体" w:eastAsia="宋体" w:cs="宋体"/>
          <w:sz w:val="24"/>
        </w:rPr>
        <w:t>岸边集装箱起重机传动部件振动监测系统技术的应用可以实时监控设备的健康状况、故障频发区域和周期，分析设备的运行状态，预测故障的发生，从而实现设备全生命周期管理。在设备管理层（可视化层），能直观地了解码头设备关键零部件的实时状态，通过状态预警实现故障预测，消灭故障于萌芽状态，专业的故障诊断帮助现场迅速排除故障，规避设备突发事故，降低设备运行安全风险，提高设备可靠性，减少非计划停机，实现码头设备关键零部件的“自我诊断”技术。</w:t>
      </w:r>
    </w:p>
    <w:p>
      <w:pPr>
        <w:spacing w:line="360" w:lineRule="auto"/>
        <w:ind w:firstLine="480" w:firstLineChars="200"/>
        <w:rPr>
          <w:rFonts w:ascii="宋体" w:hAnsi="宋体" w:eastAsia="宋体" w:cs="宋体"/>
          <w:sz w:val="24"/>
        </w:rPr>
      </w:pPr>
      <w:r>
        <w:rPr>
          <w:rFonts w:hint="eastAsia" w:ascii="宋体" w:hAnsi="宋体" w:eastAsia="宋体" w:cs="宋体"/>
          <w:sz w:val="24"/>
        </w:rPr>
        <w:t>广州港作为国家重要港口及物流节点，其装卸装备的利用率极大影响着口岸物流通畅，本项目通过技术进步有效避免被监控的机构出现突发故障及重大事故。避免结构件产生不可恢复的破坏或者损失、降低操作人员的劳动强度。为未来自动化码头进一步发展奠定了智能化基础，保证了系统运行的可靠性，拓展了技术应用范围，落实数字化新基建。</w:t>
      </w:r>
    </w:p>
    <w:p>
      <w:pPr>
        <w:spacing w:line="360" w:lineRule="auto"/>
        <w:ind w:firstLine="480" w:firstLineChars="200"/>
        <w:rPr>
          <w:rFonts w:ascii="宋体" w:hAnsi="宋体" w:eastAsia="宋体" w:cs="宋体"/>
          <w:sz w:val="24"/>
        </w:rPr>
      </w:pPr>
      <w:r>
        <w:rPr>
          <w:rFonts w:hint="eastAsia" w:ascii="宋体" w:hAnsi="宋体" w:eastAsia="宋体" w:cs="宋体"/>
          <w:sz w:val="24"/>
        </w:rPr>
        <w:t>综合当前新技术状况，并基于已有的研究成果，广州港集团拟编写《</w:t>
      </w:r>
      <w:bookmarkStart w:id="4" w:name="_Hlk81856714"/>
      <w:r>
        <w:rPr>
          <w:rFonts w:hint="eastAsia" w:ascii="宋体" w:hAnsi="宋体" w:eastAsia="宋体" w:cs="宋体"/>
          <w:sz w:val="24"/>
        </w:rPr>
        <w:t>岸边集装箱起重机传动部件振动监测系统</w:t>
      </w:r>
      <w:bookmarkEnd w:id="4"/>
      <w:r>
        <w:rPr>
          <w:rFonts w:hint="eastAsia" w:ascii="宋体" w:hAnsi="宋体" w:eastAsia="宋体" w:cs="宋体"/>
          <w:sz w:val="24"/>
        </w:rPr>
        <w:t>技术要求》，将研究成果与经验向各同行推广，从而引导港口起重机振动监测技术健康发展，并制定出可以操作的具体技术标准，使该类项目实施有规可依，有标准可以考核。</w:t>
      </w:r>
    </w:p>
    <w:p>
      <w:pPr>
        <w:spacing w:before="156" w:beforeLines="50" w:after="156" w:afterLines="50" w:line="360" w:lineRule="auto"/>
        <w:rPr>
          <w:rFonts w:ascii="宋体" w:hAnsi="宋体" w:eastAsia="宋体" w:cs="宋体"/>
          <w:sz w:val="24"/>
        </w:rPr>
      </w:pPr>
      <w:r>
        <w:rPr>
          <w:rFonts w:hint="eastAsia" w:ascii="宋体" w:hAnsi="宋体" w:eastAsia="宋体" w:cs="宋体"/>
          <w:sz w:val="24"/>
        </w:rPr>
        <w:t>3.2 主要实验分析</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以广州港股份有限公司南沙集装箱码头分公司（南沙三期）联合振华重工、同济大学等合作单位开启智慧港机研究项目-</w:t>
      </w:r>
      <w:r>
        <w:rPr>
          <w:rFonts w:ascii="宋体" w:hAnsi="宋体" w:eastAsia="宋体" w:cs="宋体"/>
          <w:sz w:val="24"/>
        </w:rPr>
        <w:t>20</w:t>
      </w:r>
      <w:r>
        <w:rPr>
          <w:rFonts w:hint="eastAsia" w:ascii="宋体" w:hAnsi="宋体" w:eastAsia="宋体" w:cs="宋体"/>
          <w:sz w:val="24"/>
        </w:rPr>
        <w:t>台岸桥为研究对象，选取2</w:t>
      </w:r>
      <w:r>
        <w:rPr>
          <w:rFonts w:ascii="宋体" w:hAnsi="宋体" w:eastAsia="宋体" w:cs="宋体"/>
          <w:sz w:val="24"/>
        </w:rPr>
        <w:t>020</w:t>
      </w:r>
      <w:r>
        <w:rPr>
          <w:rFonts w:hint="eastAsia" w:ascii="宋体" w:hAnsi="宋体" w:eastAsia="宋体" w:cs="宋体"/>
          <w:sz w:val="24"/>
        </w:rPr>
        <w:t>年度的岸边集装箱起重机传动部件振动监测系统的诊断数据，其中15号岸桥起升机构电机驱动端出现振动速度值预警，存在一个560Hz的较大幅值及轴承外圈故障频率边频带，在包络谱上存在较明显轴承外圈故障频率及其谐波，分析为轴承中后期磨损及部件共振故障，为保障港机设备安全生产，南沙三期结合泊位排期合理安排专项维修计划，开展电机拆卸修复工作，将电机拆卸后，发现驱动端轴承有烧结现象，内外圈间隙变大，外圈滚道明显磨损，达到轴承更换标准，桥15电机修复后试机正常，避免出现重大安全事故引起非计划性停机的损失。</w:t>
      </w:r>
    </w:p>
    <w:tbl>
      <w:tblPr>
        <w:tblStyle w:val="7"/>
        <w:tblpPr w:leftFromText="180" w:rightFromText="180" w:vertAnchor="text" w:horzAnchor="page" w:tblpXSpec="center" w:tblpY="508"/>
        <w:tblOverlap w:val="never"/>
        <w:tblW w:w="101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4"/>
        <w:gridCol w:w="1106"/>
        <w:gridCol w:w="2185"/>
        <w:gridCol w:w="312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幼圆" w:hAnsi="幼圆" w:eastAsia="幼圆" w:cs="幼圆"/>
                <w:b/>
                <w:i w:val="0"/>
                <w:color w:val="000000"/>
                <w:sz w:val="28"/>
                <w:szCs w:val="28"/>
                <w:u w:val="none"/>
              </w:rPr>
            </w:pPr>
            <w:r>
              <w:rPr>
                <w:rFonts w:hint="eastAsia" w:ascii="幼圆" w:hAnsi="幼圆" w:eastAsia="幼圆" w:cs="幼圆"/>
                <w:b/>
                <w:i w:val="0"/>
                <w:color w:val="000000"/>
                <w:kern w:val="0"/>
                <w:sz w:val="28"/>
                <w:szCs w:val="28"/>
                <w:u w:val="none"/>
                <w:lang w:val="en-US" w:eastAsia="zh-CN" w:bidi="ar"/>
              </w:rPr>
              <w:t>时间</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b/>
                <w:i w:val="0"/>
                <w:color w:val="000000"/>
                <w:sz w:val="28"/>
                <w:szCs w:val="28"/>
                <w:u w:val="none"/>
              </w:rPr>
            </w:pPr>
            <w:r>
              <w:rPr>
                <w:rFonts w:hint="eastAsia" w:ascii="幼圆" w:hAnsi="幼圆" w:eastAsia="幼圆" w:cs="幼圆"/>
                <w:b/>
                <w:i w:val="0"/>
                <w:color w:val="000000"/>
                <w:kern w:val="0"/>
                <w:sz w:val="28"/>
                <w:szCs w:val="28"/>
                <w:u w:val="none"/>
                <w:lang w:val="en-US" w:eastAsia="zh-CN" w:bidi="ar"/>
              </w:rPr>
              <w:t>设备号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b/>
                <w:i w:val="0"/>
                <w:color w:val="000000"/>
                <w:sz w:val="28"/>
                <w:szCs w:val="28"/>
                <w:u w:val="none"/>
              </w:rPr>
            </w:pPr>
            <w:r>
              <w:rPr>
                <w:rFonts w:hint="eastAsia" w:ascii="幼圆" w:hAnsi="幼圆" w:eastAsia="幼圆" w:cs="幼圆"/>
                <w:b/>
                <w:i w:val="0"/>
                <w:color w:val="000000"/>
                <w:kern w:val="0"/>
                <w:sz w:val="28"/>
                <w:szCs w:val="28"/>
                <w:u w:val="none"/>
                <w:lang w:val="en-US" w:eastAsia="zh-CN" w:bidi="ar"/>
              </w:rPr>
              <w:t>故障预警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b/>
                <w:i w:val="0"/>
                <w:color w:val="000000"/>
                <w:sz w:val="28"/>
                <w:szCs w:val="28"/>
                <w:u w:val="none"/>
              </w:rPr>
            </w:pPr>
            <w:r>
              <w:rPr>
                <w:rFonts w:hint="eastAsia" w:ascii="幼圆" w:hAnsi="幼圆" w:eastAsia="幼圆" w:cs="幼圆"/>
                <w:b/>
                <w:i w:val="0"/>
                <w:color w:val="000000"/>
                <w:kern w:val="0"/>
                <w:sz w:val="28"/>
                <w:szCs w:val="28"/>
                <w:u w:val="none"/>
                <w:lang w:val="en-US" w:eastAsia="zh-CN" w:bidi="ar"/>
              </w:rPr>
              <w:t>故障诊断</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b/>
                <w:i w:val="0"/>
                <w:color w:val="000000"/>
                <w:sz w:val="28"/>
                <w:szCs w:val="28"/>
                <w:u w:val="none"/>
              </w:rPr>
            </w:pPr>
            <w:r>
              <w:rPr>
                <w:rFonts w:hint="eastAsia" w:ascii="幼圆" w:hAnsi="幼圆" w:eastAsia="幼圆" w:cs="幼圆"/>
                <w:b/>
                <w:i w:val="0"/>
                <w:color w:val="000000"/>
                <w:kern w:val="0"/>
                <w:sz w:val="28"/>
                <w:szCs w:val="28"/>
                <w:u w:val="none"/>
                <w:lang w:val="en-US" w:eastAsia="zh-CN" w:bidi="ar"/>
              </w:rPr>
              <w:t>维护建议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QC15</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起升机构1#电机加速度报警，振动速度危险</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起升机构1#电机轴承有润滑不良及初期磨损故障，另可能存在驱动端的部件共振现象</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建议先对电机进行加油润滑，再根据润滑后的振动数据进行下一步处理。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QC15</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小车机构电机加速度值及轴承DEF报警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小车机构电机的轴承有润滑不良及初期磨损故障</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建议先对电机进行加油润滑，再根据润滑后的振动数据进行下一步处理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QC18</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小车机构电机加速度值及轴承DEF报警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小车机构电机存在初期轴承磨损现象</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建议先对电机进行加油润滑，再根据润滑后的振动数据进行下一步处理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QC13</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起升减速箱第二中间轴DEF报警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减速箱第二中间轴的DEF值报警则是由于轴承润滑不良现象引起的</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建议检查减速箱的油位情况及润滑情况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QC13</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小车电机加速度报警，轴承DEF值预警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小车机构电机存在轻微轴承碰磨现象</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建议查看小车机构的维护记录，查看小车机构的加油情况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QC13</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俯仰电机加速度危险，轴承DEF值预警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俯仰机构电机存在轴承磨损现象</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建议先对电机进行加油润滑，再根据润滑后的振动数据进行下一步处理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202006</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QC05</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小车单元DEF值报警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小车单元电机驱动端轴承出现初中期磨损</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建议加强QC5电机的温度和振动监测，并加强对电机轴承的润滑，如出现恶化，可停机检查和更换。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202006</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QC08</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小车单元DEF值报警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小车单元齿轮箱啮合轮齿之间间隙较大</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加强对QC8小车单元齿轮箱的润滑和振动监测，以及润滑油的温度监测，适当时间检查齿隙间距。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202008</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QC01</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小车机构电机DEF值报警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QC1#小车机构电机轴承可能存在跑圈现象或者存在部件松动现象。</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由于目前数值较小，拆机成本较高，建议加强监测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202008</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QC09</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起升机构齿轮箱输出端存在数据较大的波动</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QC9#小车机构可能是由于传感器松动或集装箱吊运不当所导致引起的振动报警</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建议加大数据采集频次，查看数据变化情况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202008</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QC17</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小车机构卷筒测点存在严重报警值</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QC17#小车机构可能存在小车轨道冲击现象或传感器故障问题</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现场针对性检查维护,在现场检查时发现小车行驶到特定位置存在冲击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QC17</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起升机构电机2振动速度危险，是有一个330Hz的部件固有频率引起的振动速度值增大</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起电机2振动速度危险的原因主要是来源于330Hz的幅值，该幅值频率不随运行转速的变化而改变，属于电机2驱动端的部件固有频率，怀疑有振动引起驱动端部件共振，鉴于驱动端部件较多，难以找到固有频率，</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建议先对该测点数据进行持续观看，监测其变化趋势。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2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202101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QC08</w:t>
            </w:r>
          </w:p>
        </w:tc>
        <w:tc>
          <w:tcPr>
            <w:tcW w:w="2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12组高转速状态数据，其中突然出现数组数据卷筒振动速度值触发危险值</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从数据分析推测，可能是由于卷筒螺栓在短时间内出现松动，并由于松动引起的不对中及切向力</w:t>
            </w:r>
          </w:p>
        </w:tc>
        <w:tc>
          <w:tcPr>
            <w:tcW w:w="2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更换螺栓后，虽然还有卷筒转频的边频存在，但幅值已经大幅降低，已经降至正常水准，可以明显的看到频谱的前后差异，但边频依然存在，建议后续定修期间，对卷筒地脚及两侧螺栓再次进行检查。</w:t>
            </w:r>
          </w:p>
        </w:tc>
      </w:tr>
    </w:tbl>
    <w:p>
      <w:pPr>
        <w:spacing w:before="156" w:beforeLines="50" w:after="156" w:afterLines="50" w:line="360" w:lineRule="auto"/>
        <w:rPr>
          <w:rFonts w:ascii="宋体" w:hAnsi="宋体" w:eastAsia="宋体" w:cs="宋体"/>
          <w:sz w:val="24"/>
        </w:rPr>
      </w:pPr>
    </w:p>
    <w:p>
      <w:pPr>
        <w:spacing w:before="156" w:beforeLines="50" w:after="156" w:afterLines="50" w:line="360" w:lineRule="auto"/>
        <w:outlineLvl w:val="0"/>
        <w:rPr>
          <w:rFonts w:ascii="宋体" w:hAnsi="宋体" w:eastAsia="宋体" w:cs="宋体"/>
          <w:b/>
          <w:bCs/>
          <w:sz w:val="24"/>
        </w:rPr>
      </w:pPr>
      <w:bookmarkStart w:id="5" w:name="_Toc8818"/>
      <w:r>
        <w:rPr>
          <w:rFonts w:hint="eastAsia" w:ascii="宋体" w:hAnsi="宋体" w:eastAsia="宋体" w:cs="宋体"/>
          <w:b/>
          <w:bCs/>
          <w:sz w:val="24"/>
        </w:rPr>
        <w:t>4 采用国际标准和国外先进标准的程度，以及与国际、国外同类标准水平的对比情况，或与测试的国外样品、样机的有关数据对比情况</w:t>
      </w:r>
      <w:bookmarkEnd w:id="5"/>
    </w:p>
    <w:p>
      <w:pPr>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cs="黑体" w:asciiTheme="majorEastAsia" w:hAnsiTheme="majorEastAsia" w:eastAsiaTheme="majorEastAsia"/>
          <w:sz w:val="24"/>
        </w:rPr>
        <w:t>无</w:t>
      </w:r>
    </w:p>
    <w:p>
      <w:pPr>
        <w:spacing w:before="156" w:beforeLines="50" w:after="156" w:afterLines="50" w:line="360" w:lineRule="auto"/>
        <w:outlineLvl w:val="0"/>
        <w:rPr>
          <w:rFonts w:ascii="宋体" w:hAnsi="宋体" w:eastAsia="宋体" w:cs="宋体"/>
          <w:b/>
          <w:bCs/>
          <w:sz w:val="24"/>
        </w:rPr>
      </w:pPr>
      <w:bookmarkStart w:id="6" w:name="_Toc8885"/>
      <w:r>
        <w:rPr>
          <w:rFonts w:hint="eastAsia" w:ascii="宋体" w:hAnsi="宋体" w:eastAsia="宋体" w:cs="宋体"/>
          <w:b/>
          <w:bCs/>
          <w:sz w:val="24"/>
        </w:rPr>
        <w:t>5 与有关的现行法律、法规和强制性标准的关系</w:t>
      </w:r>
      <w:bookmarkEnd w:id="6"/>
    </w:p>
    <w:p>
      <w:pPr>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本标准与现行的其它标准没有矛盾，与现行的法律、法规也无冲突和违背。</w:t>
      </w:r>
    </w:p>
    <w:p>
      <w:pPr>
        <w:spacing w:before="156" w:beforeLines="50" w:after="156" w:afterLines="50" w:line="360" w:lineRule="auto"/>
        <w:outlineLvl w:val="0"/>
        <w:rPr>
          <w:rFonts w:ascii="宋体" w:hAnsi="宋体" w:eastAsia="宋体" w:cs="宋体"/>
          <w:b/>
          <w:bCs/>
          <w:sz w:val="24"/>
        </w:rPr>
      </w:pPr>
      <w:bookmarkStart w:id="7" w:name="_Toc11832"/>
      <w:r>
        <w:rPr>
          <w:rFonts w:hint="eastAsia" w:ascii="宋体" w:hAnsi="宋体" w:eastAsia="宋体" w:cs="宋体"/>
          <w:b/>
          <w:bCs/>
          <w:sz w:val="24"/>
        </w:rPr>
        <w:t>6 重大分歧意见的处理经过和依据</w:t>
      </w:r>
      <w:bookmarkEnd w:id="7"/>
    </w:p>
    <w:p>
      <w:pPr>
        <w:ind w:firstLine="424" w:firstLineChars="177"/>
        <w:rPr>
          <w:rFonts w:ascii="黑体" w:hAnsi="黑体" w:eastAsia="黑体" w:cs="黑体"/>
          <w:sz w:val="28"/>
          <w:szCs w:val="28"/>
        </w:rPr>
      </w:pPr>
      <w:r>
        <w:rPr>
          <w:rFonts w:hint="eastAsia" w:asciiTheme="majorEastAsia" w:hAnsiTheme="majorEastAsia" w:eastAsiaTheme="majorEastAsia"/>
          <w:sz w:val="24"/>
        </w:rPr>
        <w:t>无</w:t>
      </w:r>
    </w:p>
    <w:p>
      <w:pPr>
        <w:spacing w:before="156" w:beforeLines="50" w:after="156" w:afterLines="50" w:line="360" w:lineRule="auto"/>
        <w:outlineLvl w:val="0"/>
        <w:rPr>
          <w:rFonts w:ascii="宋体" w:hAnsi="宋体" w:eastAsia="宋体" w:cs="宋体"/>
          <w:b/>
          <w:bCs/>
          <w:sz w:val="24"/>
        </w:rPr>
      </w:pPr>
      <w:bookmarkStart w:id="8" w:name="_Toc15168"/>
      <w:r>
        <w:rPr>
          <w:rFonts w:hint="eastAsia" w:ascii="宋体" w:hAnsi="宋体" w:eastAsia="宋体" w:cs="宋体"/>
          <w:b/>
          <w:bCs/>
          <w:sz w:val="24"/>
        </w:rPr>
        <w:t>7 贯彻标准的要求和措施的建议</w:t>
      </w:r>
      <w:bookmarkEnd w:id="8"/>
    </w:p>
    <w:p>
      <w:pPr>
        <w:ind w:firstLine="424" w:firstLineChars="177"/>
        <w:rPr>
          <w:rFonts w:ascii="宋体" w:hAnsi="宋体" w:eastAsia="宋体" w:cs="宋体"/>
          <w:b/>
          <w:bCs/>
          <w:sz w:val="24"/>
        </w:rPr>
      </w:pPr>
      <w:r>
        <w:rPr>
          <w:rFonts w:hint="eastAsia" w:asciiTheme="majorEastAsia" w:hAnsiTheme="majorEastAsia" w:eastAsiaTheme="majorEastAsia"/>
          <w:sz w:val="24"/>
        </w:rPr>
        <w:t>建议本标准按推荐性技术文件发布。</w:t>
      </w:r>
    </w:p>
    <w:p>
      <w:pPr>
        <w:spacing w:before="156" w:beforeLines="50" w:after="156" w:afterLines="50" w:line="360" w:lineRule="auto"/>
        <w:outlineLvl w:val="0"/>
        <w:rPr>
          <w:rFonts w:ascii="宋体" w:hAnsi="宋体" w:eastAsia="宋体" w:cs="宋体"/>
          <w:b/>
          <w:bCs/>
          <w:sz w:val="24"/>
        </w:rPr>
      </w:pPr>
      <w:bookmarkStart w:id="9" w:name="_Toc18469"/>
      <w:r>
        <w:rPr>
          <w:rFonts w:hint="eastAsia" w:ascii="宋体" w:hAnsi="宋体" w:eastAsia="宋体" w:cs="宋体"/>
          <w:b/>
          <w:bCs/>
          <w:sz w:val="24"/>
        </w:rPr>
        <w:t>8 废止现行有关标准的建议</w:t>
      </w:r>
      <w:bookmarkEnd w:id="9"/>
    </w:p>
    <w:p>
      <w:pPr>
        <w:ind w:firstLine="424" w:firstLineChars="177"/>
        <w:rPr>
          <w:rFonts w:ascii="黑体" w:hAnsi="黑体" w:eastAsia="黑体" w:cs="黑体"/>
          <w:sz w:val="28"/>
          <w:szCs w:val="28"/>
        </w:rPr>
      </w:pPr>
      <w:r>
        <w:rPr>
          <w:rFonts w:hint="eastAsia" w:asciiTheme="majorEastAsia" w:hAnsiTheme="majorEastAsia" w:eastAsiaTheme="majorEastAsia"/>
          <w:sz w:val="24"/>
        </w:rPr>
        <w:t>无</w:t>
      </w:r>
    </w:p>
    <w:p>
      <w:pPr>
        <w:spacing w:before="156" w:beforeLines="50" w:after="156" w:afterLines="50" w:line="360" w:lineRule="auto"/>
        <w:outlineLvl w:val="0"/>
        <w:rPr>
          <w:rFonts w:ascii="宋体" w:hAnsi="宋体" w:eastAsia="宋体" w:cs="宋体"/>
          <w:b/>
          <w:bCs/>
          <w:sz w:val="24"/>
        </w:rPr>
      </w:pPr>
      <w:bookmarkStart w:id="10" w:name="_Toc32110"/>
      <w:r>
        <w:rPr>
          <w:rFonts w:hint="eastAsia" w:ascii="宋体" w:hAnsi="宋体" w:eastAsia="宋体" w:cs="宋体"/>
          <w:b/>
          <w:bCs/>
          <w:sz w:val="24"/>
        </w:rPr>
        <w:t>9 其他应予说明的事项</w:t>
      </w:r>
      <w:bookmarkEnd w:id="10"/>
    </w:p>
    <w:p>
      <w:pPr>
        <w:ind w:firstLine="424" w:firstLineChars="177"/>
        <w:rPr>
          <w:rFonts w:asciiTheme="majorEastAsia" w:hAnsiTheme="majorEastAsia" w:eastAsiaTheme="majorEastAsia"/>
          <w:sz w:val="24"/>
        </w:rPr>
      </w:pPr>
      <w:r>
        <w:rPr>
          <w:rFonts w:hint="eastAsia" w:asciiTheme="majorEastAsia" w:hAnsiTheme="majorEastAsia" w:eastAsiaTheme="majorEastAsia"/>
          <w:sz w:val="24"/>
        </w:rPr>
        <w:t>无</w:t>
      </w:r>
    </w:p>
    <w:p>
      <w:pPr>
        <w:rPr>
          <w:rFonts w:asciiTheme="majorEastAsia" w:hAnsiTheme="majorEastAsia" w:eastAsiaTheme="majorEastAsia"/>
          <w:sz w:val="24"/>
        </w:rPr>
      </w:pPr>
    </w:p>
    <w:p>
      <w:pPr>
        <w:rPr>
          <w:rFonts w:asciiTheme="majorEastAsia" w:hAnsiTheme="majorEastAsia" w:eastAsiaTheme="majorEastAsia"/>
          <w:sz w:val="24"/>
        </w:rPr>
      </w:pPr>
    </w:p>
    <w:p>
      <w:pPr>
        <w:spacing w:before="156" w:beforeLines="50" w:after="156" w:afterLines="50" w:line="360" w:lineRule="auto"/>
        <w:ind w:firstLine="560" w:firstLineChars="200"/>
        <w:rPr>
          <w:rFonts w:cs="黑体" w:asciiTheme="majorEastAsia" w:hAnsiTheme="majorEastAsia" w:eastAsiaTheme="majorEastAsia"/>
          <w:sz w:val="24"/>
        </w:rPr>
      </w:pPr>
      <w:r>
        <w:rPr>
          <w:rFonts w:hint="eastAsia" w:asciiTheme="majorEastAsia" w:hAnsiTheme="majorEastAsia" w:eastAsiaTheme="majorEastAsia"/>
          <w:sz w:val="28"/>
          <w:szCs w:val="28"/>
        </w:rPr>
        <w:t xml:space="preserve">                                              </w:t>
      </w:r>
      <w:r>
        <w:rPr>
          <w:rFonts w:hint="eastAsia" w:cs="黑体" w:asciiTheme="majorEastAsia" w:hAnsiTheme="majorEastAsia" w:eastAsiaTheme="majorEastAsia"/>
          <w:sz w:val="24"/>
        </w:rPr>
        <w:t>标准工作组</w:t>
      </w:r>
    </w:p>
    <w:p>
      <w:pPr>
        <w:spacing w:before="156" w:beforeLines="50" w:after="156" w:afterLines="50" w:line="360" w:lineRule="auto"/>
        <w:ind w:firstLine="480" w:firstLineChars="200"/>
        <w:rPr>
          <w:rFonts w:cs="黑体" w:asciiTheme="majorEastAsia" w:hAnsiTheme="majorEastAsia" w:eastAsiaTheme="majorEastAsia"/>
          <w:sz w:val="24"/>
        </w:rPr>
      </w:pPr>
      <w:r>
        <w:rPr>
          <w:rFonts w:hint="eastAsia" w:cs="黑体" w:asciiTheme="majorEastAsia" w:hAnsiTheme="majorEastAsia" w:eastAsiaTheme="majorEastAsia"/>
          <w:sz w:val="24"/>
        </w:rPr>
        <w:t xml:space="preserve">                                                      2021年9月</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9210" cy="139700"/>
              <wp:effectExtent l="0" t="0" r="254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pStyle w:val="4"/>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2.3pt;mso-position-horizontal:right;mso-position-horizontal-relative:margin;mso-wrap-style:none;z-index:251660288;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ArRSPXdAQAAsgMAAA4AAABkcnMvZTJvRG9jLnhtbK1T227UMBB9R+If&#10;LL+zuVQCGm22Kq0WIRWo1PIBjuMkFrHHGns3Wb6esbNZCrwhXqzJzPj4zJmT7c1sRnZU6DXYmheb&#10;nDNlJbTa9jX/9rx/854zH4RtxQhW1fykPL/ZvX61nVylShhgbBUyArG+mlzNhxBclWVeDsoIvwGn&#10;LBU7QCMCfWKftSgmQjdjVub522wCbB2CVN5T9n4p8l3C7zolw9eu8yqwsebELaQT09nEM9ttRdWj&#10;cIOWZxriH1gYoS09eoG6F0GwA+q/oIyWCB66sJFgMug6LVWagaYp8j+meRqEU2kWEse7i0z+/8HK&#10;L8dHZLqt+RVnVhha0bOaA/sAMyujOpPzFTU9OWoLM6Vpy2lS7x5AfvfMwt0gbK9uEWEalGiJXRFv&#10;Zi+uLjg+gjTTZ2jpGXEIkIDmDk2UjsRghE5bOl02E6lISpbXZUEFSZXi6vpdnhaXiWq969CHjwoM&#10;i0HNkfaesMXxwYfIRVRrS3zKwl6PY9r9aH9LUGPMJO6R7kI8zM181qKB9kRTICxWIutTMAD+4Gwi&#10;G9Xcks85Gz9Z0iE6bg1wDZo1EFbSxZoHzpbwLizOPDjU/UC4q9K3pNVep0GiqAuHM0syRprvbOLo&#10;vJffqevXr7b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RNRzQAAAAAgEAAA8AAAAAAAAAAQAg&#10;AAAAIgAAAGRycy9kb3ducmV2LnhtbFBLAQIUABQAAAAIAIdO4kAK0Uj13QEAALIDAAAOAAAAAAAA&#10;AAEAIAAAAB8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8420" cy="139700"/>
              <wp:effectExtent l="0" t="0" r="254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right;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izA3PeAQAAsgMAAA4AAABkcnMvZTJvRG9jLnhtbK1T227bMAx9H7B/&#10;EPS+2El36Yw4Rdciw4CuG9DuA2hZjoXZokApsbOvHyXHWde+DXsRaJI6Ojw8Xl+NfScOmrxBW8rl&#10;IpdCW4W1sbtS/njcvrmUwgewNXRodSmP2surzetX68EVeoUtdrUmwSDWF4MrZRuCK7LMq1b34Bfo&#10;tOVig9RD4E/aZTXBwOh9l63y/H02INWOUGnvOXs7FeUm4TeNVuFb03gdRFdK5hbSSems4plt1lDs&#10;CFxr1IkG/AOLHozlR89QtxBA7Mm8gOqNIvTYhIXCPsOmMUqnGXiaZf5smocWnE6zsDjenWXy/w9W&#10;3R++kzB1KVdSWOh5RY96DOITjuIiqjM4X3DTg+O2MHKat5wm9e4O1U8vLN60YHf6mgiHVkPN7Jbx&#10;Zvbk6oTjI0g1fMWan4F9wAQ0NtRH6VgMwei8peN5M5GK4uS7y7crLiiuLC8+fsjT4jIo5ruOfPis&#10;sRcxKCXx3hM2HO58iFygmFviUxa3puvS7jv7V4IbYyZxj3Qn4mGsxpMWFdZHnoJwshJbn4MW6ZcU&#10;A9uolJZ9LkX3xbIO0XFzQHNQzQFYxRdLGaSYwpswOXPvyOxaxp2VvmattiYNEkWdOJxYsjHSfCcT&#10;R+c9/U5df361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LW7l30AAAAAIBAAAPAAAAAAAAAAEA&#10;IAAAACIAAABkcnMvZG93bnJldi54bWxQSwECFAAUAAAACACHTuJA+LMDc94BAACyAwAADgAAAAAA&#10;AAABACAAAAAfAQAAZHJzL2Uyb0RvYy54bWxQSwUGAAAAAAYABgBZAQAAb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978F"/>
    <w:multiLevelType w:val="singleLevel"/>
    <w:tmpl w:val="16D6978F"/>
    <w:lvl w:ilvl="0" w:tentative="0">
      <w:start w:val="1"/>
      <w:numFmt w:val="lowerLetter"/>
      <w:lvlText w:val="%1)"/>
      <w:lvlJc w:val="left"/>
      <w:pPr>
        <w:tabs>
          <w:tab w:val="left" w:pos="312"/>
        </w:tabs>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2"/>
      <w:suff w:val="nothing"/>
      <w:lvlText w:val="%1.%2.%3　"/>
      <w:lvlJc w:val="left"/>
      <w:pPr>
        <w:ind w:left="568" w:firstLine="0"/>
      </w:pPr>
      <w:rPr>
        <w:rFonts w:hint="eastAsia" w:ascii="黑体" w:hAnsi="Times New Roman" w:eastAsia="黑体"/>
        <w:b w:val="0"/>
        <w:i w:val="0"/>
        <w:sz w:val="21"/>
      </w:rPr>
    </w:lvl>
    <w:lvl w:ilvl="3" w:tentative="0">
      <w:start w:val="1"/>
      <w:numFmt w:val="decimal"/>
      <w:pStyle w:val="1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4F"/>
    <w:rsid w:val="00002451"/>
    <w:rsid w:val="000119CB"/>
    <w:rsid w:val="00017334"/>
    <w:rsid w:val="000369F8"/>
    <w:rsid w:val="0009492E"/>
    <w:rsid w:val="000C3BBB"/>
    <w:rsid w:val="000D1BBA"/>
    <w:rsid w:val="000D75A4"/>
    <w:rsid w:val="0011113C"/>
    <w:rsid w:val="00115C8A"/>
    <w:rsid w:val="00130530"/>
    <w:rsid w:val="001337E2"/>
    <w:rsid w:val="0017071E"/>
    <w:rsid w:val="001713E8"/>
    <w:rsid w:val="00177586"/>
    <w:rsid w:val="00182305"/>
    <w:rsid w:val="0019080A"/>
    <w:rsid w:val="00191115"/>
    <w:rsid w:val="00194179"/>
    <w:rsid w:val="001A68F1"/>
    <w:rsid w:val="001B1374"/>
    <w:rsid w:val="001B1A31"/>
    <w:rsid w:val="001B569E"/>
    <w:rsid w:val="001E1AE1"/>
    <w:rsid w:val="001F6736"/>
    <w:rsid w:val="00221596"/>
    <w:rsid w:val="0025574A"/>
    <w:rsid w:val="002E0A79"/>
    <w:rsid w:val="002F7E57"/>
    <w:rsid w:val="003136DB"/>
    <w:rsid w:val="00323CF0"/>
    <w:rsid w:val="00345EED"/>
    <w:rsid w:val="00356C3C"/>
    <w:rsid w:val="003702E4"/>
    <w:rsid w:val="003863A8"/>
    <w:rsid w:val="00390E8E"/>
    <w:rsid w:val="00403E06"/>
    <w:rsid w:val="00404B8E"/>
    <w:rsid w:val="004404AF"/>
    <w:rsid w:val="00440557"/>
    <w:rsid w:val="00442BD5"/>
    <w:rsid w:val="004558FF"/>
    <w:rsid w:val="004677B7"/>
    <w:rsid w:val="0048254E"/>
    <w:rsid w:val="004849BF"/>
    <w:rsid w:val="004B5CD6"/>
    <w:rsid w:val="004B755A"/>
    <w:rsid w:val="004B7DA6"/>
    <w:rsid w:val="004C6288"/>
    <w:rsid w:val="004D26B1"/>
    <w:rsid w:val="004D4A21"/>
    <w:rsid w:val="004D6F22"/>
    <w:rsid w:val="004F7E13"/>
    <w:rsid w:val="00524D03"/>
    <w:rsid w:val="0053717C"/>
    <w:rsid w:val="00555C01"/>
    <w:rsid w:val="00576EBA"/>
    <w:rsid w:val="005C2B4F"/>
    <w:rsid w:val="005D09D7"/>
    <w:rsid w:val="005D6FE9"/>
    <w:rsid w:val="005F1E3E"/>
    <w:rsid w:val="005F38F6"/>
    <w:rsid w:val="00607862"/>
    <w:rsid w:val="0061790B"/>
    <w:rsid w:val="00632771"/>
    <w:rsid w:val="00643508"/>
    <w:rsid w:val="0068608B"/>
    <w:rsid w:val="0069319C"/>
    <w:rsid w:val="006B3BEE"/>
    <w:rsid w:val="006D37EC"/>
    <w:rsid w:val="006F333F"/>
    <w:rsid w:val="007107B2"/>
    <w:rsid w:val="007171D9"/>
    <w:rsid w:val="0072357D"/>
    <w:rsid w:val="0075485F"/>
    <w:rsid w:val="007715F4"/>
    <w:rsid w:val="007748B3"/>
    <w:rsid w:val="007872B2"/>
    <w:rsid w:val="007A501A"/>
    <w:rsid w:val="007D4FED"/>
    <w:rsid w:val="007D5C3D"/>
    <w:rsid w:val="007F17B0"/>
    <w:rsid w:val="007F28D3"/>
    <w:rsid w:val="00812556"/>
    <w:rsid w:val="00851B4A"/>
    <w:rsid w:val="0087640D"/>
    <w:rsid w:val="008825B7"/>
    <w:rsid w:val="008B3C6C"/>
    <w:rsid w:val="008B7691"/>
    <w:rsid w:val="008C5AFE"/>
    <w:rsid w:val="008D486F"/>
    <w:rsid w:val="008D4E6D"/>
    <w:rsid w:val="00912823"/>
    <w:rsid w:val="009129E1"/>
    <w:rsid w:val="00913DFC"/>
    <w:rsid w:val="00946168"/>
    <w:rsid w:val="009C0DBD"/>
    <w:rsid w:val="009C1C68"/>
    <w:rsid w:val="009D5049"/>
    <w:rsid w:val="009D6002"/>
    <w:rsid w:val="009E45DD"/>
    <w:rsid w:val="009E705F"/>
    <w:rsid w:val="00A20276"/>
    <w:rsid w:val="00A36E20"/>
    <w:rsid w:val="00A44C53"/>
    <w:rsid w:val="00A51423"/>
    <w:rsid w:val="00AA44D6"/>
    <w:rsid w:val="00AB0E7E"/>
    <w:rsid w:val="00AC06B7"/>
    <w:rsid w:val="00AD353F"/>
    <w:rsid w:val="00AE00B6"/>
    <w:rsid w:val="00AF3550"/>
    <w:rsid w:val="00B44C56"/>
    <w:rsid w:val="00B744E4"/>
    <w:rsid w:val="00B804F6"/>
    <w:rsid w:val="00B80FF4"/>
    <w:rsid w:val="00BA04C0"/>
    <w:rsid w:val="00BA6007"/>
    <w:rsid w:val="00BA7D49"/>
    <w:rsid w:val="00BD3332"/>
    <w:rsid w:val="00BE217D"/>
    <w:rsid w:val="00BE2D0D"/>
    <w:rsid w:val="00C15C2E"/>
    <w:rsid w:val="00C47708"/>
    <w:rsid w:val="00C5022D"/>
    <w:rsid w:val="00C50B7E"/>
    <w:rsid w:val="00C62B57"/>
    <w:rsid w:val="00C66A4C"/>
    <w:rsid w:val="00C7116D"/>
    <w:rsid w:val="00C9259B"/>
    <w:rsid w:val="00C95607"/>
    <w:rsid w:val="00CA473D"/>
    <w:rsid w:val="00CE0D32"/>
    <w:rsid w:val="00CE5175"/>
    <w:rsid w:val="00CE57E1"/>
    <w:rsid w:val="00CE7451"/>
    <w:rsid w:val="00CF7623"/>
    <w:rsid w:val="00D35C3C"/>
    <w:rsid w:val="00D5161D"/>
    <w:rsid w:val="00D600B9"/>
    <w:rsid w:val="00D81556"/>
    <w:rsid w:val="00D86184"/>
    <w:rsid w:val="00DB061B"/>
    <w:rsid w:val="00DB4A6B"/>
    <w:rsid w:val="00DD277B"/>
    <w:rsid w:val="00DF1FBC"/>
    <w:rsid w:val="00E02470"/>
    <w:rsid w:val="00E05307"/>
    <w:rsid w:val="00E12B06"/>
    <w:rsid w:val="00E16816"/>
    <w:rsid w:val="00E173D9"/>
    <w:rsid w:val="00E459FF"/>
    <w:rsid w:val="00E64D9A"/>
    <w:rsid w:val="00E660D1"/>
    <w:rsid w:val="00E71A85"/>
    <w:rsid w:val="00E80182"/>
    <w:rsid w:val="00EF5875"/>
    <w:rsid w:val="00F11319"/>
    <w:rsid w:val="00F159E3"/>
    <w:rsid w:val="00F2046B"/>
    <w:rsid w:val="00F24FED"/>
    <w:rsid w:val="00F3493B"/>
    <w:rsid w:val="00F46288"/>
    <w:rsid w:val="00F674C9"/>
    <w:rsid w:val="00F747C2"/>
    <w:rsid w:val="00F94F70"/>
    <w:rsid w:val="00F97356"/>
    <w:rsid w:val="00FB3703"/>
    <w:rsid w:val="00FC60C3"/>
    <w:rsid w:val="00FD487C"/>
    <w:rsid w:val="026D4E71"/>
    <w:rsid w:val="03CA7BE7"/>
    <w:rsid w:val="04CE2A69"/>
    <w:rsid w:val="0C743799"/>
    <w:rsid w:val="0DA56A28"/>
    <w:rsid w:val="0EDE62DC"/>
    <w:rsid w:val="13887F37"/>
    <w:rsid w:val="19383CB9"/>
    <w:rsid w:val="1B3A2127"/>
    <w:rsid w:val="1BB627AA"/>
    <w:rsid w:val="2420196E"/>
    <w:rsid w:val="27762942"/>
    <w:rsid w:val="27C33A64"/>
    <w:rsid w:val="2B466DCD"/>
    <w:rsid w:val="2C6D006A"/>
    <w:rsid w:val="30055BA4"/>
    <w:rsid w:val="329A16F8"/>
    <w:rsid w:val="36B4380E"/>
    <w:rsid w:val="384B61D2"/>
    <w:rsid w:val="38575CF7"/>
    <w:rsid w:val="386C0913"/>
    <w:rsid w:val="39077CB0"/>
    <w:rsid w:val="3A7B30DB"/>
    <w:rsid w:val="3B17071F"/>
    <w:rsid w:val="3B656430"/>
    <w:rsid w:val="3D587ABB"/>
    <w:rsid w:val="40EC2DC4"/>
    <w:rsid w:val="422563AD"/>
    <w:rsid w:val="42ED155C"/>
    <w:rsid w:val="438514DB"/>
    <w:rsid w:val="4421293E"/>
    <w:rsid w:val="44551527"/>
    <w:rsid w:val="45126EAB"/>
    <w:rsid w:val="48B201C8"/>
    <w:rsid w:val="496137E0"/>
    <w:rsid w:val="4AC600BA"/>
    <w:rsid w:val="4EC65470"/>
    <w:rsid w:val="510E0B96"/>
    <w:rsid w:val="569A375F"/>
    <w:rsid w:val="56AF6CDA"/>
    <w:rsid w:val="586B4824"/>
    <w:rsid w:val="59B126EB"/>
    <w:rsid w:val="5FA320CA"/>
    <w:rsid w:val="5FA522F9"/>
    <w:rsid w:val="60993BE6"/>
    <w:rsid w:val="60C12AE2"/>
    <w:rsid w:val="623A52B2"/>
    <w:rsid w:val="626909E9"/>
    <w:rsid w:val="68F675B1"/>
    <w:rsid w:val="6AC73E4A"/>
    <w:rsid w:val="6BB66224"/>
    <w:rsid w:val="6C7E7FE3"/>
    <w:rsid w:val="6EB7669C"/>
    <w:rsid w:val="6ED74D58"/>
    <w:rsid w:val="71281CCA"/>
    <w:rsid w:val="76A85658"/>
    <w:rsid w:val="76C3447F"/>
    <w:rsid w:val="78187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character" w:customStyle="1" w:styleId="13">
    <w:name w:val="日期 字符"/>
    <w:basedOn w:val="9"/>
    <w:link w:val="2"/>
    <w:qFormat/>
    <w:uiPriority w:val="0"/>
    <w:rPr>
      <w:kern w:val="2"/>
      <w:sz w:val="21"/>
      <w:szCs w:val="24"/>
    </w:rPr>
  </w:style>
  <w:style w:type="paragraph" w:styleId="14">
    <w:name w:val="List Paragraph"/>
    <w:basedOn w:val="1"/>
    <w:link w:val="15"/>
    <w:qFormat/>
    <w:uiPriority w:val="34"/>
    <w:pPr>
      <w:ind w:firstLine="420" w:firstLineChars="200"/>
    </w:pPr>
    <w:rPr>
      <w:szCs w:val="22"/>
    </w:rPr>
  </w:style>
  <w:style w:type="character" w:customStyle="1" w:styleId="15">
    <w:name w:val="列表段落 字符"/>
    <w:link w:val="14"/>
    <w:qFormat/>
    <w:locked/>
    <w:uiPriority w:val="34"/>
    <w:rPr>
      <w:kern w:val="2"/>
      <w:sz w:val="21"/>
      <w:szCs w:val="22"/>
    </w:rPr>
  </w:style>
  <w:style w:type="character" w:customStyle="1" w:styleId="16">
    <w:name w:val="批注框文本 字符"/>
    <w:basedOn w:val="9"/>
    <w:link w:val="3"/>
    <w:qFormat/>
    <w:uiPriority w:val="0"/>
    <w:rPr>
      <w:kern w:val="2"/>
      <w:sz w:val="18"/>
      <w:szCs w:val="18"/>
    </w:rPr>
  </w:style>
  <w:style w:type="paragraph" w:customStyle="1" w:styleId="17">
    <w:name w:val="三级无"/>
    <w:basedOn w:val="18"/>
    <w:qFormat/>
    <w:uiPriority w:val="0"/>
    <w:pPr>
      <w:spacing w:before="0" w:beforeLines="0" w:after="0" w:afterLines="0"/>
    </w:pPr>
    <w:rPr>
      <w:rFonts w:ascii="宋体" w:eastAsia="宋体"/>
    </w:rPr>
  </w:style>
  <w:style w:type="paragraph" w:customStyle="1" w:styleId="18">
    <w:name w:val="三级条标题"/>
    <w:basedOn w:val="19"/>
    <w:next w:val="21"/>
    <w:qFormat/>
    <w:uiPriority w:val="0"/>
    <w:pPr>
      <w:numPr>
        <w:ilvl w:val="3"/>
        <w:numId w:val="1"/>
      </w:numPr>
      <w:outlineLvl w:val="4"/>
    </w:pPr>
  </w:style>
  <w:style w:type="paragraph" w:customStyle="1" w:styleId="19">
    <w:name w:val="二级条标题"/>
    <w:basedOn w:val="20"/>
    <w:next w:val="21"/>
    <w:qFormat/>
    <w:uiPriority w:val="0"/>
    <w:pPr>
      <w:numPr>
        <w:ilvl w:val="2"/>
        <w:numId w:val="1"/>
      </w:numPr>
      <w:spacing w:before="50" w:after="50"/>
      <w:outlineLvl w:val="3"/>
    </w:pPr>
  </w:style>
  <w:style w:type="paragraph" w:customStyle="1" w:styleId="20">
    <w:name w:val="一级条标题"/>
    <w:next w:val="2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二级无"/>
    <w:basedOn w:val="19"/>
    <w:qFormat/>
    <w:uiPriority w:val="0"/>
    <w:pPr>
      <w:numPr>
        <w:ilvl w:val="2"/>
        <w:numId w:val="1"/>
      </w:num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1095</Words>
  <Characters>6244</Characters>
  <Lines>52</Lines>
  <Paragraphs>14</Paragraphs>
  <TotalTime>1</TotalTime>
  <ScaleCrop>false</ScaleCrop>
  <LinksUpToDate>false</LinksUpToDate>
  <CharactersWithSpaces>7325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2021-09-08T09:25:00Z</dcterms:created>
  <dc:creator>lmp126</dc:creator>
  <cp:lastModifiedBy>heweiyu</cp:lastModifiedBy>
  <dcterms:modified xsi:type="dcterms:W3CDTF">2021-12-20T02:41:51Z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2A8EBC29687648CD8DEB15FF558DE047</vt:lpwstr>
  </property>
</Properties>
</file>