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6B5" w:rsidRDefault="005A16B5"/>
    <w:p w:rsidR="005A16B5" w:rsidRDefault="005A16B5">
      <w:pPr>
        <w:widowControl/>
        <w:rPr>
          <w:sz w:val="28"/>
          <w:szCs w:val="28"/>
        </w:rPr>
      </w:pPr>
    </w:p>
    <w:p w:rsidR="005A16B5" w:rsidRDefault="005A16B5">
      <w:pPr>
        <w:widowControl/>
        <w:rPr>
          <w:sz w:val="28"/>
          <w:szCs w:val="28"/>
        </w:rPr>
      </w:pPr>
    </w:p>
    <w:p w:rsidR="005A16B5" w:rsidRDefault="00084AF2">
      <w:pPr>
        <w:widowControl/>
        <w:jc w:val="center"/>
        <w:rPr>
          <w:rFonts w:ascii="黑体" w:eastAsia="黑体" w:hAnsi="黑体"/>
          <w:b/>
          <w:sz w:val="44"/>
          <w:szCs w:val="44"/>
        </w:rPr>
      </w:pPr>
      <w:r>
        <w:rPr>
          <w:rFonts w:ascii="黑体" w:eastAsia="黑体" w:hAnsi="黑体" w:hint="eastAsia"/>
          <w:b/>
          <w:sz w:val="44"/>
          <w:szCs w:val="44"/>
        </w:rPr>
        <w:t>中国港口协会团体</w:t>
      </w:r>
      <w:r>
        <w:rPr>
          <w:rFonts w:ascii="黑体" w:eastAsia="黑体" w:hAnsi="黑体"/>
          <w:b/>
          <w:sz w:val="44"/>
          <w:szCs w:val="44"/>
        </w:rPr>
        <w:t>标准</w:t>
      </w:r>
    </w:p>
    <w:p w:rsidR="005A16B5" w:rsidRDefault="005A16B5">
      <w:pPr>
        <w:widowControl/>
        <w:jc w:val="center"/>
        <w:rPr>
          <w:rFonts w:ascii="黑体" w:eastAsia="黑体" w:hAnsi="黑体"/>
          <w:b/>
          <w:sz w:val="44"/>
          <w:szCs w:val="44"/>
        </w:rPr>
      </w:pPr>
    </w:p>
    <w:p w:rsidR="005A16B5" w:rsidRDefault="00084AF2">
      <w:pPr>
        <w:spacing w:line="360" w:lineRule="auto"/>
        <w:jc w:val="center"/>
        <w:rPr>
          <w:rFonts w:ascii="黑体" w:eastAsia="黑体" w:hAnsi="黑体"/>
          <w:b/>
          <w:sz w:val="44"/>
          <w:szCs w:val="44"/>
        </w:rPr>
      </w:pPr>
      <w:r>
        <w:rPr>
          <w:rFonts w:ascii="黑体" w:eastAsia="黑体" w:hAnsi="黑体" w:hint="eastAsia"/>
          <w:b/>
          <w:sz w:val="44"/>
          <w:szCs w:val="44"/>
        </w:rPr>
        <w:t>进口集装箱电子提货单</w:t>
      </w:r>
    </w:p>
    <w:p w:rsidR="005A16B5" w:rsidRDefault="00084AF2">
      <w:pPr>
        <w:spacing w:line="360" w:lineRule="auto"/>
        <w:jc w:val="center"/>
        <w:rPr>
          <w:rFonts w:ascii="黑体" w:eastAsia="黑体" w:hAnsi="黑体"/>
          <w:b/>
          <w:sz w:val="44"/>
          <w:szCs w:val="44"/>
        </w:rPr>
      </w:pPr>
      <w:r>
        <w:rPr>
          <w:rFonts w:ascii="黑体" w:eastAsia="黑体" w:hAnsi="黑体"/>
          <w:b/>
          <w:sz w:val="44"/>
          <w:szCs w:val="44"/>
        </w:rPr>
        <w:t>Electronic Delivery Order of Imported Container</w:t>
      </w:r>
    </w:p>
    <w:p w:rsidR="005A16B5" w:rsidRDefault="00084AF2">
      <w:pPr>
        <w:spacing w:line="360" w:lineRule="auto"/>
        <w:jc w:val="center"/>
        <w:rPr>
          <w:rFonts w:ascii="黑体" w:eastAsia="黑体" w:hAnsi="黑体"/>
          <w:b/>
          <w:sz w:val="44"/>
          <w:szCs w:val="44"/>
        </w:rPr>
      </w:pPr>
      <w:r>
        <w:rPr>
          <w:rFonts w:ascii="黑体" w:eastAsia="黑体" w:hAnsi="黑体" w:hint="eastAsia"/>
          <w:b/>
          <w:sz w:val="44"/>
          <w:szCs w:val="44"/>
        </w:rPr>
        <w:t>（征求意见稿）</w:t>
      </w:r>
    </w:p>
    <w:p w:rsidR="005A16B5" w:rsidRDefault="00084AF2">
      <w:pPr>
        <w:widowControl/>
        <w:jc w:val="center"/>
        <w:rPr>
          <w:rFonts w:ascii="黑体" w:eastAsia="黑体" w:hAnsi="黑体"/>
          <w:b/>
          <w:sz w:val="44"/>
          <w:szCs w:val="44"/>
        </w:rPr>
      </w:pPr>
      <w:r>
        <w:rPr>
          <w:rFonts w:ascii="黑体" w:eastAsia="黑体" w:hAnsi="黑体"/>
          <w:b/>
          <w:sz w:val="44"/>
          <w:szCs w:val="44"/>
        </w:rPr>
        <w:t>编制说明</w:t>
      </w: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5A16B5">
      <w:pPr>
        <w:widowControl/>
        <w:rPr>
          <w:szCs w:val="21"/>
        </w:rPr>
      </w:pPr>
    </w:p>
    <w:p w:rsidR="005A16B5" w:rsidRDefault="00084AF2">
      <w:pPr>
        <w:widowControl/>
        <w:jc w:val="center"/>
        <w:rPr>
          <w:rFonts w:ascii="黑体" w:eastAsia="黑体" w:hAnsi="黑体"/>
          <w:b/>
          <w:sz w:val="32"/>
          <w:szCs w:val="32"/>
        </w:rPr>
      </w:pPr>
      <w:r>
        <w:rPr>
          <w:rFonts w:ascii="黑体" w:eastAsia="黑体" w:hAnsi="黑体"/>
          <w:b/>
          <w:sz w:val="32"/>
          <w:szCs w:val="32"/>
        </w:rPr>
        <w:t>标准起草组</w:t>
      </w:r>
    </w:p>
    <w:p w:rsidR="005A16B5" w:rsidRDefault="00084AF2">
      <w:pPr>
        <w:widowControl/>
        <w:jc w:val="center"/>
        <w:rPr>
          <w:rFonts w:ascii="黑体" w:eastAsia="黑体" w:hAnsi="黑体" w:cs="Arial"/>
          <w:b/>
          <w:sz w:val="32"/>
          <w:szCs w:val="32"/>
        </w:rPr>
      </w:pPr>
      <w:r>
        <w:rPr>
          <w:rFonts w:ascii="黑体" w:eastAsia="黑体" w:hAnsi="黑体" w:cs="Arial"/>
          <w:b/>
          <w:sz w:val="32"/>
          <w:szCs w:val="32"/>
        </w:rPr>
        <w:t>2020年6月20日</w:t>
      </w:r>
    </w:p>
    <w:p w:rsidR="005A16B5" w:rsidRDefault="005A16B5"/>
    <w:p w:rsidR="005A16B5" w:rsidRDefault="005A16B5"/>
    <w:p w:rsidR="005A16B5" w:rsidRDefault="005A16B5">
      <w:pPr>
        <w:sectPr w:rsidR="005A16B5">
          <w:headerReference w:type="even" r:id="rId8"/>
          <w:headerReference w:type="default" r:id="rId9"/>
          <w:footerReference w:type="even" r:id="rId10"/>
          <w:footerReference w:type="default" r:id="rId11"/>
          <w:headerReference w:type="first" r:id="rId12"/>
          <w:footerReference w:type="first" r:id="rId13"/>
          <w:pgSz w:w="11906" w:h="16838"/>
          <w:pgMar w:top="1588" w:right="1814" w:bottom="1588" w:left="1814" w:header="851" w:footer="992" w:gutter="0"/>
          <w:cols w:space="425"/>
          <w:titlePg/>
          <w:docGrid w:type="lines" w:linePitch="312"/>
        </w:sectPr>
      </w:pPr>
    </w:p>
    <w:sdt>
      <w:sdtPr>
        <w:rPr>
          <w:rFonts w:ascii="Times New Roman" w:eastAsia="宋体" w:hAnsi="Times New Roman" w:cs="Times New Roman"/>
          <w:b w:val="0"/>
          <w:bCs w:val="0"/>
          <w:color w:val="auto"/>
          <w:kern w:val="2"/>
          <w:sz w:val="21"/>
          <w:szCs w:val="20"/>
          <w:lang w:val="zh-CN"/>
        </w:rPr>
        <w:id w:val="-168555256"/>
        <w:docPartObj>
          <w:docPartGallery w:val="Table of Contents"/>
          <w:docPartUnique/>
        </w:docPartObj>
      </w:sdtPr>
      <w:sdtEndPr>
        <w:rPr>
          <w:rFonts w:asciiTheme="minorEastAsia" w:eastAsiaTheme="minorEastAsia" w:hAnsiTheme="minorEastAsia"/>
          <w:sz w:val="24"/>
          <w:szCs w:val="24"/>
        </w:rPr>
      </w:sdtEndPr>
      <w:sdtContent>
        <w:p w:rsidR="005A16B5" w:rsidRDefault="00084AF2">
          <w:pPr>
            <w:pStyle w:val="TOC1"/>
            <w:jc w:val="center"/>
            <w:rPr>
              <w:rFonts w:ascii="黑体" w:eastAsia="黑体" w:hAnsi="黑体"/>
              <w:color w:val="auto"/>
              <w:sz w:val="32"/>
              <w:szCs w:val="32"/>
            </w:rPr>
          </w:pPr>
          <w:r>
            <w:rPr>
              <w:rFonts w:ascii="黑体" w:eastAsia="黑体" w:hAnsi="黑体"/>
              <w:color w:val="auto"/>
              <w:sz w:val="32"/>
              <w:szCs w:val="32"/>
              <w:lang w:val="zh-CN"/>
            </w:rPr>
            <w:t>目录</w:t>
          </w:r>
        </w:p>
        <w:p w:rsidR="005A16B5" w:rsidRDefault="001E1892">
          <w:pPr>
            <w:pStyle w:val="10"/>
            <w:spacing w:before="156"/>
            <w:rPr>
              <w:rFonts w:asciiTheme="minorEastAsia" w:eastAsiaTheme="minorEastAsia" w:hAnsiTheme="minorEastAsia" w:cstheme="minorBidi"/>
              <w:b w:val="0"/>
              <w:bCs w:val="0"/>
              <w:caps w:val="0"/>
              <w:spacing w:val="0"/>
              <w:sz w:val="24"/>
              <w:szCs w:val="24"/>
            </w:rPr>
          </w:pPr>
          <w:r w:rsidRPr="001E1892">
            <w:rPr>
              <w:rFonts w:asciiTheme="minorEastAsia" w:eastAsiaTheme="minorEastAsia" w:hAnsiTheme="minorEastAsia"/>
              <w:sz w:val="24"/>
              <w:szCs w:val="24"/>
            </w:rPr>
            <w:fldChar w:fldCharType="begin"/>
          </w:r>
          <w:r w:rsidR="00084AF2">
            <w:rPr>
              <w:rFonts w:asciiTheme="minorEastAsia" w:eastAsiaTheme="minorEastAsia" w:hAnsiTheme="minorEastAsia"/>
              <w:sz w:val="24"/>
              <w:szCs w:val="24"/>
            </w:rPr>
            <w:instrText xml:space="preserve"> TOC \o "1-3" \h \z \u </w:instrText>
          </w:r>
          <w:r w:rsidRPr="001E1892">
            <w:rPr>
              <w:rFonts w:asciiTheme="minorEastAsia" w:eastAsiaTheme="minorEastAsia" w:hAnsiTheme="minorEastAsia"/>
              <w:sz w:val="24"/>
              <w:szCs w:val="24"/>
            </w:rPr>
            <w:fldChar w:fldCharType="separate"/>
          </w:r>
          <w:hyperlink w:anchor="_Toc26972779" w:history="1">
            <w:r w:rsidR="00084AF2">
              <w:rPr>
                <w:rStyle w:val="a8"/>
                <w:rFonts w:asciiTheme="minorEastAsia" w:eastAsiaTheme="minorEastAsia" w:hAnsiTheme="minorEastAsia" w:hint="eastAsia"/>
                <w:b w:val="0"/>
                <w:sz w:val="24"/>
                <w:szCs w:val="24"/>
              </w:rPr>
              <w:t>一、工</w:t>
            </w:r>
            <w:r w:rsidR="00084AF2">
              <w:rPr>
                <w:rStyle w:val="a8"/>
                <w:rFonts w:asciiTheme="minorEastAsia" w:eastAsiaTheme="minorEastAsia" w:hAnsiTheme="minorEastAsia" w:cs="Arial" w:hint="eastAsia"/>
                <w:b w:val="0"/>
                <w:sz w:val="24"/>
                <w:szCs w:val="24"/>
              </w:rPr>
              <w:t>作简况</w:t>
            </w:r>
            <w:r w:rsidR="00084AF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084AF2">
              <w:rPr>
                <w:rFonts w:asciiTheme="minorEastAsia" w:eastAsiaTheme="minorEastAsia" w:hAnsiTheme="minorEastAsia"/>
                <w:b w:val="0"/>
                <w:sz w:val="24"/>
                <w:szCs w:val="24"/>
              </w:rPr>
              <w:instrText xml:space="preserve"> PAGEREF _Toc26972779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084AF2">
              <w:rPr>
                <w:rFonts w:asciiTheme="minorEastAsia" w:eastAsiaTheme="minorEastAsia" w:hAnsiTheme="minorEastAsia"/>
                <w:b w:val="0"/>
                <w:sz w:val="24"/>
                <w:szCs w:val="24"/>
              </w:rPr>
              <w:t>1</w:t>
            </w:r>
            <w:r>
              <w:rPr>
                <w:rFonts w:asciiTheme="minorEastAsia" w:eastAsiaTheme="minorEastAsia" w:hAnsiTheme="minorEastAsia"/>
                <w:b w:val="0"/>
                <w:sz w:val="24"/>
                <w:szCs w:val="24"/>
              </w:rPr>
              <w:fldChar w:fldCharType="end"/>
            </w:r>
          </w:hyperlink>
        </w:p>
        <w:p w:rsidR="005A16B5" w:rsidRDefault="001E1892">
          <w:pPr>
            <w:pStyle w:val="10"/>
            <w:spacing w:before="156"/>
            <w:rPr>
              <w:rFonts w:asciiTheme="minorEastAsia" w:eastAsiaTheme="minorEastAsia" w:hAnsiTheme="minorEastAsia" w:cstheme="minorBidi"/>
              <w:b w:val="0"/>
              <w:bCs w:val="0"/>
              <w:caps w:val="0"/>
              <w:spacing w:val="0"/>
              <w:sz w:val="24"/>
              <w:szCs w:val="24"/>
            </w:rPr>
          </w:pPr>
          <w:hyperlink w:anchor="_Toc26972784" w:history="1">
            <w:r w:rsidR="00084AF2">
              <w:rPr>
                <w:rStyle w:val="a8"/>
                <w:rFonts w:asciiTheme="minorEastAsia" w:eastAsiaTheme="minorEastAsia" w:hAnsiTheme="minorEastAsia" w:hint="eastAsia"/>
                <w:b w:val="0"/>
                <w:sz w:val="24"/>
                <w:szCs w:val="24"/>
              </w:rPr>
              <w:t>二、标准编制原则和确定标准主要内容的论据</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2</w:t>
          </w:r>
        </w:p>
        <w:p w:rsidR="005A16B5" w:rsidRDefault="001E1892">
          <w:pPr>
            <w:pStyle w:val="10"/>
            <w:spacing w:before="156"/>
            <w:jc w:val="both"/>
            <w:rPr>
              <w:rFonts w:asciiTheme="minorEastAsia" w:eastAsiaTheme="minorEastAsia" w:hAnsiTheme="minorEastAsia" w:cstheme="minorBidi"/>
              <w:b w:val="0"/>
              <w:bCs w:val="0"/>
              <w:caps w:val="0"/>
              <w:spacing w:val="0"/>
              <w:sz w:val="24"/>
              <w:szCs w:val="24"/>
            </w:rPr>
          </w:pPr>
          <w:hyperlink w:anchor="_Toc26972787" w:history="1">
            <w:r w:rsidR="00084AF2">
              <w:rPr>
                <w:rStyle w:val="a8"/>
                <w:rFonts w:asciiTheme="minorEastAsia" w:eastAsiaTheme="minorEastAsia" w:hAnsiTheme="minorEastAsia" w:hint="eastAsia"/>
                <w:b w:val="0"/>
                <w:sz w:val="24"/>
                <w:szCs w:val="24"/>
              </w:rPr>
              <w:t>三、主要试验（或验证）的分析、综述报告，技术经济论证，预期的经济效果</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5</w:t>
          </w:r>
        </w:p>
        <w:p w:rsidR="005A16B5" w:rsidRDefault="001E1892">
          <w:pPr>
            <w:pStyle w:val="10"/>
            <w:spacing w:before="156"/>
            <w:jc w:val="both"/>
            <w:rPr>
              <w:rFonts w:asciiTheme="minorEastAsia" w:eastAsiaTheme="minorEastAsia" w:hAnsiTheme="minorEastAsia" w:cstheme="minorBidi"/>
              <w:b w:val="0"/>
              <w:bCs w:val="0"/>
              <w:caps w:val="0"/>
              <w:spacing w:val="0"/>
              <w:sz w:val="24"/>
              <w:szCs w:val="24"/>
            </w:rPr>
          </w:pPr>
          <w:hyperlink w:anchor="_Toc26972788" w:history="1">
            <w:r w:rsidR="00084AF2">
              <w:rPr>
                <w:rStyle w:val="a8"/>
                <w:rFonts w:asciiTheme="minorEastAsia" w:eastAsiaTheme="minorEastAsia" w:hAnsiTheme="minorEastAsia" w:hint="eastAsia"/>
                <w:b w:val="0"/>
                <w:sz w:val="24"/>
                <w:szCs w:val="24"/>
              </w:rPr>
              <w:t>四、采用国际标准和国外先进标准的程度，以及与国际、国外同类标准水平的对比情况，或与测试的国外样品、样机的有关数据对比情况</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6</w:t>
          </w:r>
        </w:p>
        <w:p w:rsidR="005A16B5" w:rsidRDefault="001E1892">
          <w:pPr>
            <w:pStyle w:val="10"/>
            <w:spacing w:before="156"/>
            <w:rPr>
              <w:rFonts w:asciiTheme="minorEastAsia" w:eastAsiaTheme="minorEastAsia" w:hAnsiTheme="minorEastAsia" w:cstheme="minorBidi"/>
              <w:b w:val="0"/>
              <w:bCs w:val="0"/>
              <w:caps w:val="0"/>
              <w:spacing w:val="0"/>
              <w:sz w:val="24"/>
              <w:szCs w:val="24"/>
            </w:rPr>
          </w:pPr>
          <w:hyperlink w:anchor="_Toc26972789" w:history="1">
            <w:r w:rsidR="00084AF2">
              <w:rPr>
                <w:rStyle w:val="a8"/>
                <w:rFonts w:asciiTheme="minorEastAsia" w:eastAsiaTheme="minorEastAsia" w:hAnsiTheme="minorEastAsia" w:hint="eastAsia"/>
                <w:b w:val="0"/>
                <w:sz w:val="24"/>
                <w:szCs w:val="24"/>
              </w:rPr>
              <w:t>五、与有关的现行法律、法规和强制性标准的关系</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6</w:t>
          </w:r>
        </w:p>
        <w:p w:rsidR="005A16B5" w:rsidRDefault="001E1892">
          <w:pPr>
            <w:pStyle w:val="10"/>
            <w:spacing w:before="156"/>
            <w:rPr>
              <w:rFonts w:asciiTheme="minorEastAsia" w:eastAsiaTheme="minorEastAsia" w:hAnsiTheme="minorEastAsia" w:cstheme="minorBidi"/>
              <w:b w:val="0"/>
              <w:bCs w:val="0"/>
              <w:caps w:val="0"/>
              <w:spacing w:val="0"/>
              <w:sz w:val="24"/>
              <w:szCs w:val="24"/>
            </w:rPr>
          </w:pPr>
          <w:hyperlink w:anchor="_Toc26972790" w:history="1">
            <w:r w:rsidR="00084AF2">
              <w:rPr>
                <w:rStyle w:val="a8"/>
                <w:rFonts w:asciiTheme="minorEastAsia" w:eastAsiaTheme="minorEastAsia" w:hAnsiTheme="minorEastAsia" w:hint="eastAsia"/>
                <w:b w:val="0"/>
                <w:sz w:val="24"/>
                <w:szCs w:val="24"/>
              </w:rPr>
              <w:t>六、重大分歧意见的处理经过和依据</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6</w:t>
          </w:r>
        </w:p>
        <w:p w:rsidR="005A16B5" w:rsidRDefault="001E1892">
          <w:pPr>
            <w:pStyle w:val="10"/>
            <w:spacing w:before="156"/>
            <w:jc w:val="both"/>
            <w:rPr>
              <w:rFonts w:asciiTheme="minorEastAsia" w:eastAsiaTheme="minorEastAsia" w:hAnsiTheme="minorEastAsia" w:cstheme="minorBidi"/>
              <w:b w:val="0"/>
              <w:bCs w:val="0"/>
              <w:caps w:val="0"/>
              <w:spacing w:val="0"/>
              <w:sz w:val="24"/>
              <w:szCs w:val="24"/>
            </w:rPr>
          </w:pPr>
          <w:hyperlink w:anchor="_Toc26972792" w:history="1">
            <w:r w:rsidR="00084AF2">
              <w:rPr>
                <w:rStyle w:val="a8"/>
                <w:rFonts w:asciiTheme="minorEastAsia" w:eastAsiaTheme="minorEastAsia" w:hAnsiTheme="minorEastAsia" w:hint="eastAsia"/>
                <w:b w:val="0"/>
                <w:sz w:val="24"/>
                <w:szCs w:val="24"/>
              </w:rPr>
              <w:t>七、贯彻标准的要求和措施建议（包括组织措施、技术措施、过渡办法等内容）</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7</w:t>
          </w:r>
        </w:p>
        <w:p w:rsidR="005A16B5" w:rsidRDefault="001E1892">
          <w:pPr>
            <w:pStyle w:val="10"/>
            <w:spacing w:before="156"/>
            <w:rPr>
              <w:rFonts w:asciiTheme="minorEastAsia" w:eastAsiaTheme="minorEastAsia" w:hAnsiTheme="minorEastAsia" w:cstheme="minorBidi"/>
              <w:b w:val="0"/>
              <w:bCs w:val="0"/>
              <w:caps w:val="0"/>
              <w:spacing w:val="0"/>
              <w:sz w:val="24"/>
              <w:szCs w:val="24"/>
            </w:rPr>
          </w:pPr>
          <w:hyperlink w:anchor="_Toc26972793" w:history="1">
            <w:r w:rsidR="00084AF2">
              <w:rPr>
                <w:rStyle w:val="a8"/>
                <w:rFonts w:asciiTheme="minorEastAsia" w:eastAsiaTheme="minorEastAsia" w:hAnsiTheme="minorEastAsia" w:hint="eastAsia"/>
                <w:b w:val="0"/>
                <w:sz w:val="24"/>
                <w:szCs w:val="24"/>
              </w:rPr>
              <w:t>八、废止现行有关标准的建议</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7</w:t>
          </w:r>
        </w:p>
        <w:p w:rsidR="005A16B5" w:rsidRDefault="001E1892">
          <w:pPr>
            <w:pStyle w:val="10"/>
            <w:spacing w:before="156"/>
            <w:rPr>
              <w:rFonts w:asciiTheme="minorEastAsia" w:eastAsiaTheme="minorEastAsia" w:hAnsiTheme="minorEastAsia" w:cstheme="minorBidi"/>
              <w:b w:val="0"/>
              <w:bCs w:val="0"/>
              <w:caps w:val="0"/>
              <w:spacing w:val="0"/>
              <w:sz w:val="24"/>
              <w:szCs w:val="24"/>
            </w:rPr>
          </w:pPr>
          <w:hyperlink w:anchor="_Toc26972794" w:history="1">
            <w:r w:rsidR="00084AF2">
              <w:rPr>
                <w:rStyle w:val="a8"/>
                <w:rFonts w:asciiTheme="minorEastAsia" w:eastAsiaTheme="minorEastAsia" w:hAnsiTheme="minorEastAsia" w:hint="eastAsia"/>
                <w:b w:val="0"/>
                <w:sz w:val="24"/>
                <w:szCs w:val="24"/>
              </w:rPr>
              <w:t>九、其他应予说明的事项</w:t>
            </w:r>
            <w:r w:rsidR="00084AF2">
              <w:rPr>
                <w:rFonts w:asciiTheme="minorEastAsia" w:eastAsiaTheme="minorEastAsia" w:hAnsiTheme="minorEastAsia"/>
                <w:b w:val="0"/>
                <w:sz w:val="24"/>
                <w:szCs w:val="24"/>
              </w:rPr>
              <w:tab/>
            </w:r>
          </w:hyperlink>
          <w:r w:rsidR="00084AF2">
            <w:rPr>
              <w:rFonts w:asciiTheme="minorEastAsia" w:eastAsiaTheme="minorEastAsia" w:hAnsiTheme="minorEastAsia"/>
              <w:b w:val="0"/>
              <w:sz w:val="24"/>
              <w:szCs w:val="24"/>
            </w:rPr>
            <w:t>7</w:t>
          </w:r>
        </w:p>
        <w:p w:rsidR="005A16B5" w:rsidRDefault="001E1892">
          <w:pPr>
            <w:rPr>
              <w:rFonts w:asciiTheme="minorEastAsia" w:eastAsiaTheme="minorEastAsia" w:hAnsiTheme="minorEastAsia"/>
              <w:sz w:val="24"/>
              <w:szCs w:val="24"/>
            </w:rPr>
          </w:pPr>
          <w:r>
            <w:rPr>
              <w:rFonts w:asciiTheme="minorEastAsia" w:eastAsiaTheme="minorEastAsia" w:hAnsiTheme="minorEastAsia"/>
              <w:b/>
              <w:bCs/>
              <w:sz w:val="24"/>
              <w:szCs w:val="24"/>
              <w:lang w:val="zh-CN"/>
            </w:rPr>
            <w:fldChar w:fldCharType="end"/>
          </w:r>
        </w:p>
      </w:sdtContent>
    </w:sdt>
    <w:p w:rsidR="005A16B5" w:rsidRDefault="005A16B5">
      <w:pPr>
        <w:spacing w:line="360" w:lineRule="auto"/>
        <w:rPr>
          <w:rFonts w:ascii="黑体" w:eastAsia="黑体" w:hAnsi="黑体"/>
          <w:szCs w:val="21"/>
        </w:rPr>
        <w:sectPr w:rsidR="005A16B5">
          <w:footerReference w:type="default" r:id="rId14"/>
          <w:pgSz w:w="11906" w:h="16838"/>
          <w:pgMar w:top="1588" w:right="1814" w:bottom="1588" w:left="1814" w:header="851" w:footer="992" w:gutter="0"/>
          <w:cols w:space="425"/>
          <w:titlePg/>
          <w:docGrid w:type="lines" w:linePitch="312"/>
        </w:sectPr>
      </w:pPr>
    </w:p>
    <w:p w:rsidR="005A16B5" w:rsidRDefault="00084AF2">
      <w:pPr>
        <w:spacing w:line="360" w:lineRule="auto"/>
        <w:jc w:val="center"/>
        <w:rPr>
          <w:rFonts w:asciiTheme="minorEastAsia" w:eastAsiaTheme="minorEastAsia" w:hAnsiTheme="minorEastAsia"/>
          <w:b/>
          <w:sz w:val="24"/>
          <w:szCs w:val="24"/>
        </w:rPr>
      </w:pPr>
      <w:bookmarkStart w:id="0" w:name="_Toc483660122"/>
      <w:bookmarkStart w:id="1" w:name="_Toc89252253"/>
      <w:r>
        <w:rPr>
          <w:rFonts w:asciiTheme="minorEastAsia" w:eastAsiaTheme="minorEastAsia" w:hAnsiTheme="minorEastAsia" w:hint="eastAsia"/>
          <w:b/>
          <w:sz w:val="24"/>
          <w:szCs w:val="24"/>
        </w:rPr>
        <w:lastRenderedPageBreak/>
        <w:t>《进口集装箱电子提货单》编制说明</w:t>
      </w:r>
    </w:p>
    <w:p w:rsidR="005A16B5" w:rsidRDefault="00084AF2" w:rsidP="00F851EB">
      <w:pPr>
        <w:spacing w:beforeLines="50" w:line="360" w:lineRule="auto"/>
        <w:outlineLvl w:val="0"/>
        <w:rPr>
          <w:rFonts w:asciiTheme="minorEastAsia" w:eastAsiaTheme="minorEastAsia" w:hAnsiTheme="minorEastAsia"/>
          <w:b/>
          <w:sz w:val="24"/>
          <w:szCs w:val="24"/>
        </w:rPr>
      </w:pPr>
      <w:bookmarkStart w:id="2" w:name="_Toc26972779"/>
      <w:r>
        <w:rPr>
          <w:rFonts w:asciiTheme="minorEastAsia" w:eastAsiaTheme="minorEastAsia" w:hAnsiTheme="minorEastAsia" w:hint="eastAsia"/>
          <w:b/>
          <w:sz w:val="24"/>
          <w:szCs w:val="24"/>
        </w:rPr>
        <w:t>一、工</w:t>
      </w:r>
      <w:r>
        <w:rPr>
          <w:rFonts w:asciiTheme="minorEastAsia" w:eastAsiaTheme="minorEastAsia" w:hAnsiTheme="minorEastAsia" w:cs="Arial"/>
          <w:b/>
          <w:color w:val="000000"/>
          <w:sz w:val="24"/>
          <w:szCs w:val="24"/>
        </w:rPr>
        <w:t>作简况</w:t>
      </w:r>
      <w:bookmarkEnd w:id="0"/>
      <w:bookmarkEnd w:id="2"/>
    </w:p>
    <w:p w:rsidR="005A16B5" w:rsidRDefault="00084AF2" w:rsidP="00F851EB">
      <w:pPr>
        <w:spacing w:beforeLines="50" w:line="360" w:lineRule="auto"/>
        <w:outlineLvl w:val="1"/>
        <w:rPr>
          <w:rFonts w:asciiTheme="minorEastAsia" w:eastAsiaTheme="minorEastAsia" w:hAnsiTheme="minorEastAsia"/>
          <w:b/>
          <w:sz w:val="24"/>
          <w:szCs w:val="24"/>
        </w:rPr>
      </w:pPr>
      <w:bookmarkStart w:id="3" w:name="_Toc26972780"/>
      <w:bookmarkStart w:id="4" w:name="_Toc483660123"/>
      <w:r>
        <w:rPr>
          <w:rFonts w:asciiTheme="minorEastAsia" w:eastAsiaTheme="minorEastAsia" w:hAnsiTheme="minorEastAsia" w:hint="eastAsia"/>
          <w:b/>
          <w:sz w:val="24"/>
          <w:szCs w:val="24"/>
        </w:rPr>
        <w:t>（一）任务来源</w:t>
      </w:r>
      <w:bookmarkEnd w:id="1"/>
      <w:bookmarkEnd w:id="3"/>
      <w:bookmarkEnd w:id="4"/>
    </w:p>
    <w:p w:rsidR="005A16B5" w:rsidRDefault="00084AF2" w:rsidP="00F851EB">
      <w:pPr>
        <w:spacing w:beforeLines="50" w:line="360" w:lineRule="auto"/>
        <w:ind w:firstLine="43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团体标准《</w:t>
      </w:r>
      <w:r>
        <w:rPr>
          <w:rFonts w:asciiTheme="minorEastAsia" w:eastAsiaTheme="minorEastAsia" w:hAnsiTheme="minorEastAsia" w:hint="eastAsia"/>
          <w:bCs/>
          <w:sz w:val="24"/>
          <w:szCs w:val="24"/>
        </w:rPr>
        <w:t>进口集装箱电子提货单</w:t>
      </w:r>
      <w:r>
        <w:rPr>
          <w:rFonts w:asciiTheme="minorEastAsia" w:eastAsiaTheme="minorEastAsia" w:hAnsiTheme="minorEastAsia" w:hint="eastAsia"/>
          <w:sz w:val="24"/>
          <w:szCs w:val="24"/>
        </w:rPr>
        <w:t>》是</w:t>
      </w:r>
      <w:r w:rsidR="00580D60">
        <w:rPr>
          <w:rFonts w:asciiTheme="minorEastAsia" w:eastAsiaTheme="minorEastAsia" w:hAnsiTheme="minorEastAsia" w:hint="eastAsia"/>
          <w:sz w:val="24"/>
          <w:szCs w:val="24"/>
        </w:rPr>
        <w:t>根据</w:t>
      </w:r>
      <w:r w:rsidR="00580D60" w:rsidRPr="0024703D">
        <w:rPr>
          <w:rFonts w:asciiTheme="minorEastAsia" w:eastAsiaTheme="minorEastAsia" w:hAnsiTheme="minorEastAsia" w:hint="eastAsia"/>
          <w:sz w:val="24"/>
          <w:szCs w:val="24"/>
        </w:rPr>
        <w:t>中国港口协会关于《2019年度中国港口协会第二批团体标准化计划》</w:t>
      </w:r>
      <w:r w:rsidR="00580D60">
        <w:rPr>
          <w:rFonts w:asciiTheme="minorEastAsia" w:eastAsiaTheme="minorEastAsia" w:hAnsiTheme="minorEastAsia" w:hint="eastAsia"/>
          <w:sz w:val="24"/>
          <w:szCs w:val="24"/>
        </w:rPr>
        <w:t>（中港协行函[2019]44号）</w:t>
      </w:r>
      <w:r w:rsidR="00580D60" w:rsidRPr="0024703D">
        <w:rPr>
          <w:rFonts w:asciiTheme="minorEastAsia" w:eastAsiaTheme="minorEastAsia" w:hAnsiTheme="minorEastAsia" w:hint="eastAsia"/>
          <w:sz w:val="24"/>
          <w:szCs w:val="24"/>
        </w:rPr>
        <w:t>的通知</w:t>
      </w:r>
      <w:r w:rsidR="00580D6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计划编号</w:t>
      </w:r>
      <w:r>
        <w:rPr>
          <w:rFonts w:asciiTheme="minorEastAsia" w:eastAsiaTheme="minorEastAsia" w:hAnsiTheme="minorEastAsia"/>
          <w:sz w:val="24"/>
          <w:szCs w:val="24"/>
        </w:rPr>
        <w:t>2019</w:t>
      </w:r>
      <w:r>
        <w:rPr>
          <w:rFonts w:asciiTheme="minorEastAsia" w:eastAsiaTheme="minorEastAsia" w:hAnsiTheme="minorEastAsia" w:hint="eastAsia"/>
          <w:sz w:val="24"/>
          <w:szCs w:val="24"/>
        </w:rPr>
        <w:t>-</w:t>
      </w:r>
      <w:r>
        <w:rPr>
          <w:rFonts w:asciiTheme="minorEastAsia" w:eastAsiaTheme="minorEastAsia" w:hAnsiTheme="minorEastAsia"/>
          <w:sz w:val="24"/>
          <w:szCs w:val="24"/>
        </w:rPr>
        <w:t>14</w:t>
      </w:r>
      <w:r>
        <w:rPr>
          <w:rFonts w:asciiTheme="minorEastAsia" w:eastAsiaTheme="minorEastAsia" w:hAnsiTheme="minorEastAsia" w:hint="eastAsia"/>
          <w:sz w:val="24"/>
          <w:szCs w:val="24"/>
        </w:rPr>
        <w:t>的安排，由上海国际港务（集团）股份有限公司、</w:t>
      </w:r>
      <w:r w:rsidR="00F851EB" w:rsidRPr="00F851EB">
        <w:rPr>
          <w:rFonts w:asciiTheme="minorEastAsia" w:eastAsiaTheme="minorEastAsia" w:hAnsiTheme="minorEastAsia" w:hint="eastAsia"/>
          <w:sz w:val="24"/>
          <w:szCs w:val="24"/>
        </w:rPr>
        <w:t>宁波舟山港集团有限公司</w:t>
      </w:r>
      <w:r w:rsidRPr="00F851EB">
        <w:rPr>
          <w:rFonts w:asciiTheme="minorEastAsia" w:eastAsiaTheme="minorEastAsia" w:hAnsiTheme="minorEastAsia" w:hint="eastAsia"/>
          <w:sz w:val="24"/>
          <w:szCs w:val="24"/>
        </w:rPr>
        <w:t>、天津港（集团）有限公司、</w:t>
      </w:r>
      <w:r>
        <w:rPr>
          <w:rFonts w:asciiTheme="minorEastAsia" w:eastAsiaTheme="minorEastAsia" w:hAnsiTheme="minorEastAsia" w:hint="eastAsia"/>
          <w:sz w:val="24"/>
          <w:szCs w:val="24"/>
        </w:rPr>
        <w:t>上海海事大学和中国港口协会负责起草。</w:t>
      </w:r>
    </w:p>
    <w:p w:rsidR="005A16B5" w:rsidRDefault="00084AF2" w:rsidP="00F851EB">
      <w:pPr>
        <w:spacing w:beforeLines="50" w:line="360" w:lineRule="auto"/>
        <w:outlineLvl w:val="1"/>
        <w:rPr>
          <w:rFonts w:asciiTheme="minorEastAsia" w:eastAsiaTheme="minorEastAsia" w:hAnsiTheme="minorEastAsia"/>
          <w:b/>
          <w:sz w:val="24"/>
          <w:szCs w:val="24"/>
        </w:rPr>
      </w:pPr>
      <w:bookmarkStart w:id="5" w:name="_Toc26972781"/>
      <w:r>
        <w:rPr>
          <w:rFonts w:asciiTheme="minorEastAsia" w:eastAsiaTheme="minorEastAsia" w:hAnsiTheme="minorEastAsia" w:hint="eastAsia"/>
          <w:b/>
          <w:sz w:val="24"/>
          <w:szCs w:val="24"/>
        </w:rPr>
        <w:t>（二）起草单位</w:t>
      </w:r>
      <w:bookmarkEnd w:id="5"/>
    </w:p>
    <w:p w:rsidR="005A16B5" w:rsidRDefault="00084AF2" w:rsidP="00F851EB">
      <w:pPr>
        <w:spacing w:beforeLines="50" w:line="360" w:lineRule="auto"/>
        <w:ind w:firstLine="435"/>
        <w:jc w:val="left"/>
        <w:rPr>
          <w:rFonts w:ascii="黑体" w:eastAsia="黑体" w:hAnsi="黑体"/>
          <w:sz w:val="24"/>
          <w:szCs w:val="24"/>
        </w:rPr>
      </w:pPr>
      <w:r>
        <w:rPr>
          <w:rFonts w:ascii="宋体" w:hint="eastAsia"/>
          <w:sz w:val="24"/>
          <w:szCs w:val="24"/>
        </w:rPr>
        <w:t>标准编写主要由上海国际港务（集团）股份有限公司负责、协作单位主要为</w:t>
      </w:r>
      <w:r w:rsidR="00F851EB" w:rsidRPr="00F851EB">
        <w:rPr>
          <w:rFonts w:asciiTheme="minorEastAsia" w:eastAsiaTheme="minorEastAsia" w:hAnsiTheme="minorEastAsia" w:hint="eastAsia"/>
          <w:sz w:val="24"/>
          <w:szCs w:val="24"/>
        </w:rPr>
        <w:t>宁波舟山港集团有限公司</w:t>
      </w:r>
      <w:r w:rsidRPr="00F851EB">
        <w:rPr>
          <w:rFonts w:ascii="宋体" w:hint="eastAsia"/>
          <w:sz w:val="24"/>
          <w:szCs w:val="24"/>
        </w:rPr>
        <w:t>、天津港（集团）有限公司、</w:t>
      </w:r>
      <w:r>
        <w:rPr>
          <w:rFonts w:ascii="宋体" w:hint="eastAsia"/>
          <w:sz w:val="24"/>
          <w:szCs w:val="24"/>
        </w:rPr>
        <w:t>上海海事大学和中国港口协会。</w:t>
      </w:r>
    </w:p>
    <w:p w:rsidR="005A16B5" w:rsidRDefault="00084AF2" w:rsidP="00F851EB">
      <w:pPr>
        <w:spacing w:beforeLines="50" w:line="360" w:lineRule="auto"/>
        <w:outlineLvl w:val="1"/>
        <w:rPr>
          <w:rFonts w:asciiTheme="minorEastAsia" w:eastAsiaTheme="minorEastAsia" w:hAnsiTheme="minorEastAsia"/>
          <w:b/>
          <w:sz w:val="24"/>
          <w:szCs w:val="24"/>
        </w:rPr>
      </w:pPr>
      <w:bookmarkStart w:id="6" w:name="_Toc26972782"/>
      <w:r>
        <w:rPr>
          <w:rFonts w:asciiTheme="minorEastAsia" w:eastAsiaTheme="minorEastAsia" w:hAnsiTheme="minorEastAsia" w:hint="eastAsia"/>
          <w:b/>
          <w:sz w:val="24"/>
          <w:szCs w:val="24"/>
        </w:rPr>
        <w:t>（三）主要起草人及其所做的工作</w:t>
      </w:r>
      <w:bookmarkEnd w:id="6"/>
    </w:p>
    <w:p w:rsidR="005A16B5" w:rsidRDefault="00084AF2" w:rsidP="00F851EB">
      <w:pPr>
        <w:spacing w:beforeLines="50" w:line="360" w:lineRule="auto"/>
        <w:ind w:firstLine="435"/>
        <w:jc w:val="left"/>
        <w:rPr>
          <w:rFonts w:ascii="宋体"/>
          <w:sz w:val="24"/>
          <w:szCs w:val="24"/>
        </w:rPr>
      </w:pPr>
      <w:r>
        <w:rPr>
          <w:rFonts w:ascii="宋体" w:hint="eastAsia"/>
          <w:sz w:val="24"/>
          <w:szCs w:val="24"/>
        </w:rPr>
        <w:t>标准主要起草人有严俊、韩青原、王昕、杨宗杰、陈会文、王晨曦、蔡勇、陈珏、张健、薛怡、刘园、沈阳、童建忠、林柯龙、张蕾、王强、柯冬澄、</w:t>
      </w:r>
      <w:r>
        <w:rPr>
          <w:rFonts w:asciiTheme="minorEastAsia" w:eastAsiaTheme="minorEastAsia" w:hAnsiTheme="minorEastAsia" w:hint="eastAsia"/>
          <w:szCs w:val="21"/>
        </w:rPr>
        <w:t>王轩</w:t>
      </w:r>
      <w:r>
        <w:rPr>
          <w:rFonts w:ascii="宋体" w:hint="eastAsia"/>
          <w:sz w:val="24"/>
          <w:szCs w:val="24"/>
        </w:rPr>
        <w:t>、</w:t>
      </w:r>
      <w:r>
        <w:rPr>
          <w:rFonts w:asciiTheme="minorEastAsia" w:eastAsiaTheme="minorEastAsia" w:hAnsiTheme="minorEastAsia" w:hint="eastAsia"/>
          <w:szCs w:val="21"/>
        </w:rPr>
        <w:t>杨志新</w:t>
      </w:r>
      <w:r>
        <w:rPr>
          <w:rFonts w:ascii="宋体" w:hint="eastAsia"/>
          <w:sz w:val="24"/>
          <w:szCs w:val="24"/>
        </w:rPr>
        <w:t>、</w:t>
      </w:r>
      <w:r>
        <w:rPr>
          <w:rFonts w:asciiTheme="minorEastAsia" w:eastAsiaTheme="minorEastAsia" w:hAnsiTheme="minorEastAsia" w:hint="eastAsia"/>
          <w:szCs w:val="21"/>
        </w:rPr>
        <w:t>李秋男</w:t>
      </w:r>
      <w:r>
        <w:rPr>
          <w:rFonts w:ascii="宋体" w:hint="eastAsia"/>
          <w:sz w:val="24"/>
          <w:szCs w:val="24"/>
        </w:rPr>
        <w:t>。</w:t>
      </w:r>
      <w:bookmarkStart w:id="7" w:name="_GoBack"/>
      <w:bookmarkEnd w:id="7"/>
    </w:p>
    <w:p w:rsidR="005A16B5" w:rsidRDefault="00084AF2" w:rsidP="00F851EB">
      <w:pPr>
        <w:spacing w:beforeLines="50" w:line="360" w:lineRule="auto"/>
        <w:ind w:firstLine="435"/>
        <w:jc w:val="left"/>
        <w:rPr>
          <w:rFonts w:ascii="宋体"/>
          <w:sz w:val="24"/>
          <w:szCs w:val="24"/>
        </w:rPr>
      </w:pPr>
      <w:r>
        <w:rPr>
          <w:rFonts w:ascii="宋体" w:hint="eastAsia"/>
          <w:sz w:val="24"/>
          <w:szCs w:val="24"/>
        </w:rPr>
        <w:t>起草人任务分工见表1.1。</w:t>
      </w:r>
    </w:p>
    <w:p w:rsidR="005A16B5" w:rsidRPr="00580D60" w:rsidRDefault="00084AF2" w:rsidP="00F851EB">
      <w:pPr>
        <w:spacing w:beforeLines="50" w:line="360" w:lineRule="auto"/>
        <w:jc w:val="center"/>
        <w:rPr>
          <w:rFonts w:ascii="黑体" w:eastAsia="黑体" w:hAnsi="黑体"/>
          <w:sz w:val="24"/>
          <w:szCs w:val="24"/>
        </w:rPr>
      </w:pPr>
      <w:r w:rsidRPr="00580D60">
        <w:rPr>
          <w:rFonts w:ascii="黑体" w:eastAsia="黑体" w:hAnsi="黑体" w:hint="eastAsia"/>
          <w:sz w:val="24"/>
          <w:szCs w:val="24"/>
        </w:rPr>
        <w:t>表1.1 标准主要起草人任务分工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2039"/>
        <w:gridCol w:w="1750"/>
        <w:gridCol w:w="1145"/>
        <w:gridCol w:w="2547"/>
      </w:tblGrid>
      <w:tr w:rsidR="005A16B5">
        <w:tc>
          <w:tcPr>
            <w:tcW w:w="596" w:type="pct"/>
          </w:tcPr>
          <w:p w:rsidR="005A16B5" w:rsidRDefault="00084AF2" w:rsidP="00F851EB">
            <w:pPr>
              <w:spacing w:beforeLines="50"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200" w:type="pct"/>
          </w:tcPr>
          <w:p w:rsidR="005A16B5" w:rsidRDefault="00084AF2" w:rsidP="00F851EB">
            <w:pPr>
              <w:spacing w:beforeLines="50" w:line="360" w:lineRule="auto"/>
              <w:ind w:firstLine="435"/>
              <w:jc w:val="left"/>
              <w:rPr>
                <w:rFonts w:asciiTheme="minorEastAsia" w:eastAsiaTheme="minorEastAsia" w:hAnsiTheme="minorEastAsia"/>
                <w:szCs w:val="21"/>
              </w:rPr>
            </w:pPr>
            <w:r>
              <w:rPr>
                <w:rFonts w:asciiTheme="minorEastAsia" w:eastAsiaTheme="minorEastAsia" w:hAnsiTheme="minorEastAsia" w:hint="eastAsia"/>
                <w:szCs w:val="21"/>
              </w:rPr>
              <w:t>单  位</w:t>
            </w:r>
          </w:p>
        </w:tc>
        <w:tc>
          <w:tcPr>
            <w:tcW w:w="1030" w:type="pct"/>
          </w:tcPr>
          <w:p w:rsidR="005A16B5" w:rsidRDefault="00084AF2" w:rsidP="00F851EB">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职务、职称</w:t>
            </w:r>
          </w:p>
        </w:tc>
        <w:tc>
          <w:tcPr>
            <w:tcW w:w="674" w:type="pct"/>
          </w:tcPr>
          <w:p w:rsidR="005A16B5" w:rsidRDefault="00084AF2" w:rsidP="00F851EB">
            <w:pPr>
              <w:spacing w:beforeLines="50"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项目职务</w:t>
            </w:r>
          </w:p>
        </w:tc>
        <w:tc>
          <w:tcPr>
            <w:tcW w:w="1498" w:type="pct"/>
          </w:tcPr>
          <w:p w:rsidR="005A16B5" w:rsidRDefault="00084AF2" w:rsidP="00F851EB">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分    工</w:t>
            </w:r>
          </w:p>
        </w:tc>
      </w:tr>
      <w:tr w:rsidR="005A16B5">
        <w:trPr>
          <w:trHeight w:val="664"/>
        </w:trPr>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严俊</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030" w:type="pct"/>
            <w:vAlign w:val="center"/>
          </w:tcPr>
          <w:p w:rsidR="005A16B5" w:rsidRDefault="00084AF2">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上港集团党委副书记、总裁</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组长</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标准修订总负责，审核相关技术。</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韩青原</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总助</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标准全文修辞与英文审核。</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王昕</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经理</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标准结构、框架、要素审核及相关技术审核。</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杨宗杰</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副主任</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文献资料检索、编写的调研，参与</w:t>
            </w: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章节的编写</w:t>
            </w:r>
            <w:r>
              <w:rPr>
                <w:rFonts w:asciiTheme="minorEastAsia" w:eastAsiaTheme="minorEastAsia" w:hAnsiTheme="minorEastAsia" w:hint="eastAsia"/>
                <w:szCs w:val="21"/>
              </w:rPr>
              <w:lastRenderedPageBreak/>
              <w:t>及相关技术论证。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陈会文</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主管</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第4章节的相关技术论证。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王晨曦</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主管</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结构、要素条文的审核和标准的编辑性修改。</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蔡勇</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上海海勃物流软件有限公司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软件三部室经理</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第5和</w:t>
            </w:r>
            <w:r>
              <w:rPr>
                <w:rFonts w:asciiTheme="minorEastAsia" w:eastAsiaTheme="minorEastAsia" w:hAnsiTheme="minorEastAsia"/>
                <w:szCs w:val="21"/>
              </w:rPr>
              <w:t>7</w:t>
            </w:r>
            <w:r>
              <w:rPr>
                <w:rFonts w:asciiTheme="minorEastAsia" w:eastAsiaTheme="minorEastAsia" w:hAnsiTheme="minorEastAsia" w:hint="eastAsia"/>
                <w:szCs w:val="21"/>
              </w:rPr>
              <w:t>章节的相关技术论证。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陈珏</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上海海勃物流软件有限公司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助理经济师/</w:t>
            </w:r>
          </w:p>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企业策划部室经理（主持工作）</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第5和</w:t>
            </w:r>
            <w:r>
              <w:rPr>
                <w:rFonts w:asciiTheme="minorEastAsia" w:eastAsiaTheme="minorEastAsia" w:hAnsiTheme="minorEastAsia"/>
                <w:szCs w:val="21"/>
              </w:rPr>
              <w:t>7</w:t>
            </w:r>
            <w:r>
              <w:rPr>
                <w:rFonts w:asciiTheme="minorEastAsia" w:eastAsiaTheme="minorEastAsia" w:hAnsiTheme="minorEastAsia" w:hint="eastAsia"/>
                <w:szCs w:val="21"/>
              </w:rPr>
              <w:t>章节的编写及相关技术论证。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张健</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上港集团港口业务受理中心有限公司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部门经理</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薛怡</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上港集团港口业务受理中心有限公司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流程策划</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w:t>
            </w:r>
            <w:r>
              <w:rPr>
                <w:rFonts w:asciiTheme="minorEastAsia" w:eastAsiaTheme="minorEastAsia" w:hAnsiTheme="minorEastAsia"/>
                <w:szCs w:val="21"/>
              </w:rPr>
              <w:t>6</w:t>
            </w:r>
            <w:r>
              <w:rPr>
                <w:rFonts w:asciiTheme="minorEastAsia" w:eastAsiaTheme="minorEastAsia" w:hAnsiTheme="minorEastAsia" w:hint="eastAsia"/>
                <w:szCs w:val="21"/>
              </w:rPr>
              <w:t>章节的相关技术论证。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童建忠</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浙江易港通电子商务有限公司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公司总经理</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标准结构、框架、要素审核及相关技术审核。</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林柯龙</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浙江易港通电子商务有限公司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公司副总经理</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标准全文修辞与英文审核。</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张蕾</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宁波舟山港集团</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生产安全部主管</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7" w:type="dxa"/>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第5和</w:t>
            </w:r>
            <w:r>
              <w:rPr>
                <w:rFonts w:asciiTheme="minorEastAsia" w:eastAsiaTheme="minorEastAsia" w:hAnsiTheme="minorEastAsia"/>
                <w:szCs w:val="21"/>
              </w:rPr>
              <w:t>7</w:t>
            </w:r>
            <w:r>
              <w:rPr>
                <w:rFonts w:asciiTheme="minorEastAsia" w:eastAsiaTheme="minorEastAsia" w:hAnsiTheme="minorEastAsia" w:hint="eastAsia"/>
                <w:szCs w:val="21"/>
              </w:rPr>
              <w:t>章节的相关技术论证。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王强</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浙江易港通电子商务有限公司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商务研发部经理</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7" w:type="dxa"/>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第5和</w:t>
            </w:r>
            <w:r>
              <w:rPr>
                <w:rFonts w:asciiTheme="minorEastAsia" w:eastAsiaTheme="minorEastAsia" w:hAnsiTheme="minorEastAsia"/>
                <w:szCs w:val="21"/>
              </w:rPr>
              <w:t>7</w:t>
            </w:r>
            <w:r>
              <w:rPr>
                <w:rFonts w:asciiTheme="minorEastAsia" w:eastAsiaTheme="minorEastAsia" w:hAnsiTheme="minorEastAsia" w:hint="eastAsia"/>
                <w:szCs w:val="21"/>
              </w:rPr>
              <w:t>章节的编写及相关技术论证。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柯冬澄</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浙江易港通电子商务有限公司</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工程技术部经理</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7" w:type="dxa"/>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5A16B5">
        <w:tc>
          <w:tcPr>
            <w:tcW w:w="1013"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王轩</w:t>
            </w:r>
          </w:p>
        </w:tc>
        <w:tc>
          <w:tcPr>
            <w:tcW w:w="2039"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天津港（集团）有限公司</w:t>
            </w:r>
          </w:p>
        </w:tc>
        <w:tc>
          <w:tcPr>
            <w:tcW w:w="1750" w:type="dxa"/>
            <w:vAlign w:val="center"/>
          </w:tcPr>
          <w:p w:rsidR="005A16B5" w:rsidRDefault="00084AF2">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5A16B5" w:rsidRDefault="00084AF2">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总经理</w:t>
            </w:r>
          </w:p>
        </w:tc>
        <w:tc>
          <w:tcPr>
            <w:tcW w:w="1145"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7"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标准结构、框架、要素审核及相关技术审核。</w:t>
            </w:r>
          </w:p>
        </w:tc>
      </w:tr>
      <w:tr w:rsidR="005A16B5">
        <w:tc>
          <w:tcPr>
            <w:tcW w:w="1013"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杨志新</w:t>
            </w:r>
          </w:p>
        </w:tc>
        <w:tc>
          <w:tcPr>
            <w:tcW w:w="2039" w:type="dxa"/>
            <w:vAlign w:val="center"/>
          </w:tcPr>
          <w:p w:rsidR="005A16B5" w:rsidRDefault="00084AF2">
            <w:pPr>
              <w:jc w:val="center"/>
              <w:rPr>
                <w:rFonts w:asciiTheme="minorEastAsia" w:eastAsiaTheme="minorEastAsia" w:hAnsiTheme="minorEastAsia"/>
                <w:szCs w:val="21"/>
              </w:rPr>
            </w:pPr>
            <w:r>
              <w:rPr>
                <w:rFonts w:asciiTheme="minorEastAsia" w:eastAsiaTheme="minorEastAsia" w:hAnsiTheme="minorEastAsia" w:hint="eastAsia"/>
                <w:szCs w:val="21"/>
              </w:rPr>
              <w:t>天津港（集团）有限公司</w:t>
            </w:r>
          </w:p>
        </w:tc>
        <w:tc>
          <w:tcPr>
            <w:tcW w:w="1750" w:type="dxa"/>
            <w:vAlign w:val="center"/>
          </w:tcPr>
          <w:p w:rsidR="005A16B5" w:rsidRDefault="00084AF2">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副总经理</w:t>
            </w:r>
          </w:p>
        </w:tc>
        <w:tc>
          <w:tcPr>
            <w:tcW w:w="1145"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7" w:type="dxa"/>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第5章节的编写及相关技术论证。</w:t>
            </w:r>
          </w:p>
        </w:tc>
      </w:tr>
      <w:tr w:rsidR="005A16B5">
        <w:tc>
          <w:tcPr>
            <w:tcW w:w="1013"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李秋男</w:t>
            </w:r>
          </w:p>
        </w:tc>
        <w:tc>
          <w:tcPr>
            <w:tcW w:w="2039" w:type="dxa"/>
            <w:vAlign w:val="center"/>
          </w:tcPr>
          <w:p w:rsidR="005A16B5" w:rsidRDefault="00084AF2">
            <w:pPr>
              <w:jc w:val="center"/>
              <w:rPr>
                <w:rFonts w:asciiTheme="minorEastAsia" w:eastAsiaTheme="minorEastAsia" w:hAnsiTheme="minorEastAsia"/>
                <w:szCs w:val="21"/>
              </w:rPr>
            </w:pPr>
            <w:r>
              <w:rPr>
                <w:rFonts w:asciiTheme="minorEastAsia" w:eastAsiaTheme="minorEastAsia" w:hAnsiTheme="minorEastAsia" w:hint="eastAsia"/>
                <w:szCs w:val="21"/>
              </w:rPr>
              <w:t>天津港（集团）有限公司</w:t>
            </w:r>
          </w:p>
        </w:tc>
        <w:tc>
          <w:tcPr>
            <w:tcW w:w="1750" w:type="dxa"/>
            <w:vAlign w:val="center"/>
          </w:tcPr>
          <w:p w:rsidR="005A16B5" w:rsidRDefault="00084AF2">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信息化主管</w:t>
            </w:r>
          </w:p>
        </w:tc>
        <w:tc>
          <w:tcPr>
            <w:tcW w:w="1145" w:type="dxa"/>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7" w:type="dxa"/>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刘园</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上海海事大学</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讲师</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整理材料，组织并撰写标准。</w:t>
            </w:r>
          </w:p>
        </w:tc>
      </w:tr>
      <w:tr w:rsidR="005A16B5">
        <w:tc>
          <w:tcPr>
            <w:tcW w:w="596"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沈阳</w:t>
            </w:r>
          </w:p>
        </w:tc>
        <w:tc>
          <w:tcPr>
            <w:tcW w:w="120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上海海事大学</w:t>
            </w:r>
          </w:p>
        </w:tc>
        <w:tc>
          <w:tcPr>
            <w:tcW w:w="1030"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讲师</w:t>
            </w:r>
          </w:p>
        </w:tc>
        <w:tc>
          <w:tcPr>
            <w:tcW w:w="674" w:type="pct"/>
            <w:vAlign w:val="center"/>
          </w:tcPr>
          <w:p w:rsidR="005A16B5" w:rsidRDefault="00084AF2">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1498" w:type="pct"/>
            <w:vAlign w:val="center"/>
          </w:tcPr>
          <w:p w:rsidR="005A16B5" w:rsidRDefault="00084AF2">
            <w:pPr>
              <w:spacing w:line="300" w:lineRule="auto"/>
              <w:jc w:val="left"/>
              <w:rPr>
                <w:rFonts w:asciiTheme="minorEastAsia" w:eastAsiaTheme="minorEastAsia" w:hAnsiTheme="minorEastAsia"/>
                <w:szCs w:val="21"/>
              </w:rPr>
            </w:pPr>
            <w:r>
              <w:rPr>
                <w:rFonts w:asciiTheme="minorEastAsia" w:eastAsiaTheme="minorEastAsia" w:hAnsiTheme="minorEastAsia"/>
                <w:szCs w:val="21"/>
              </w:rPr>
              <w:t>资料收集与分析</w:t>
            </w:r>
            <w:r>
              <w:rPr>
                <w:rFonts w:asciiTheme="minorEastAsia" w:eastAsiaTheme="minorEastAsia" w:hAnsiTheme="minorEastAsia" w:hint="eastAsia"/>
                <w:szCs w:val="21"/>
              </w:rPr>
              <w:t>。</w:t>
            </w:r>
          </w:p>
        </w:tc>
      </w:tr>
    </w:tbl>
    <w:p w:rsidR="005A16B5" w:rsidRDefault="00084AF2" w:rsidP="00F851EB">
      <w:pPr>
        <w:spacing w:beforeLines="50" w:line="360" w:lineRule="auto"/>
        <w:outlineLvl w:val="1"/>
        <w:rPr>
          <w:rFonts w:asciiTheme="minorEastAsia" w:eastAsiaTheme="minorEastAsia" w:hAnsiTheme="minorEastAsia"/>
          <w:b/>
          <w:sz w:val="24"/>
          <w:szCs w:val="24"/>
        </w:rPr>
      </w:pPr>
      <w:bookmarkStart w:id="8" w:name="_Toc26972783"/>
      <w:bookmarkStart w:id="9" w:name="_Toc483660124"/>
      <w:r>
        <w:rPr>
          <w:rFonts w:asciiTheme="minorEastAsia" w:eastAsiaTheme="minorEastAsia" w:hAnsiTheme="minorEastAsia" w:hint="eastAsia"/>
          <w:b/>
          <w:sz w:val="24"/>
          <w:szCs w:val="24"/>
        </w:rPr>
        <w:t>（四）主要工作</w:t>
      </w:r>
      <w:r>
        <w:rPr>
          <w:rFonts w:asciiTheme="minorEastAsia" w:eastAsiaTheme="minorEastAsia" w:hAnsiTheme="minorEastAsia"/>
          <w:b/>
          <w:sz w:val="24"/>
          <w:szCs w:val="24"/>
        </w:rPr>
        <w:t>过</w:t>
      </w:r>
      <w:r>
        <w:rPr>
          <w:rFonts w:asciiTheme="minorEastAsia" w:eastAsiaTheme="minorEastAsia" w:hAnsiTheme="minorEastAsia" w:hint="eastAsia"/>
          <w:b/>
          <w:sz w:val="24"/>
          <w:szCs w:val="24"/>
        </w:rPr>
        <w:t>程</w:t>
      </w:r>
      <w:bookmarkEnd w:id="8"/>
      <w:bookmarkEnd w:id="9"/>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color w:val="000000"/>
          <w:sz w:val="24"/>
          <w:szCs w:val="24"/>
          <w:lang w:val="zh-CN"/>
        </w:rPr>
        <w:lastRenderedPageBreak/>
        <w:t>2019</w:t>
      </w:r>
      <w:r>
        <w:rPr>
          <w:rFonts w:asciiTheme="minorEastAsia" w:eastAsiaTheme="minorEastAsia" w:hAnsiTheme="minorEastAsia" w:cs="宋体" w:hint="eastAsia"/>
          <w:color w:val="000000"/>
          <w:sz w:val="24"/>
          <w:szCs w:val="24"/>
          <w:lang w:val="zh-CN"/>
        </w:rPr>
        <w:t>年根据</w:t>
      </w:r>
      <w:r w:rsidR="00580D60" w:rsidRPr="0024703D">
        <w:rPr>
          <w:rFonts w:asciiTheme="minorEastAsia" w:eastAsiaTheme="minorEastAsia" w:hAnsiTheme="minorEastAsia" w:hint="eastAsia"/>
          <w:sz w:val="24"/>
          <w:szCs w:val="24"/>
        </w:rPr>
        <w:t>《2019年度中国港口协会第二批团体标准化计划》</w:t>
      </w:r>
      <w:r>
        <w:rPr>
          <w:rFonts w:asciiTheme="minorEastAsia" w:eastAsiaTheme="minorEastAsia" w:hAnsiTheme="minorEastAsia" w:hint="eastAsia"/>
          <w:sz w:val="24"/>
          <w:szCs w:val="24"/>
        </w:rPr>
        <w:t>，项目承担单位根据计划要求，成立编制组，明确了标准编写任务分工和时间进度安排，组织开展标准制定工作：</w:t>
      </w:r>
    </w:p>
    <w:p w:rsidR="005A16B5" w:rsidRDefault="00084AF2" w:rsidP="00F851EB">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1、201</w:t>
      </w:r>
      <w:r>
        <w:rPr>
          <w:rFonts w:asciiTheme="minorEastAsia" w:eastAsiaTheme="minorEastAsia" w:hAnsiTheme="minorEastAsia"/>
          <w:sz w:val="24"/>
          <w:szCs w:val="24"/>
        </w:rPr>
        <w:t>9</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10</w:t>
      </w:r>
      <w:r>
        <w:rPr>
          <w:rFonts w:asciiTheme="minorEastAsia" w:eastAsiaTheme="minorEastAsia" w:hAnsiTheme="minorEastAsia" w:hint="eastAsia"/>
          <w:sz w:val="24"/>
          <w:szCs w:val="24"/>
        </w:rPr>
        <w:t>月～1</w:t>
      </w:r>
      <w:r>
        <w:rPr>
          <w:rFonts w:asciiTheme="minorEastAsia" w:eastAsiaTheme="minorEastAsia" w:hAnsiTheme="minorEastAsia"/>
          <w:sz w:val="24"/>
          <w:szCs w:val="24"/>
        </w:rPr>
        <w:t>1月</w:t>
      </w:r>
      <w:r>
        <w:rPr>
          <w:rFonts w:asciiTheme="minorEastAsia" w:eastAsiaTheme="minorEastAsia" w:hAnsiTheme="minorEastAsia" w:hint="eastAsia"/>
          <w:sz w:val="24"/>
          <w:szCs w:val="24"/>
        </w:rPr>
        <w:t>，对目前已开展或拟开展进口集装箱提货单电子化业务的港口企业进行调研，对实现提货单电子化过程中，单证数据化的格式与安全要求、单证流转无纸化的业务需求等问题进行总结归纳，编制标准制定研究大纲。</w:t>
      </w:r>
    </w:p>
    <w:p w:rsidR="005A16B5" w:rsidRDefault="00084AF2" w:rsidP="00F851EB">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2、201</w:t>
      </w:r>
      <w:r>
        <w:rPr>
          <w:rFonts w:asciiTheme="minorEastAsia" w:eastAsiaTheme="minorEastAsia" w:hAnsiTheme="minorEastAsia"/>
          <w:sz w:val="24"/>
          <w:szCs w:val="24"/>
        </w:rPr>
        <w:t>9</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Pr>
          <w:rFonts w:asciiTheme="minorEastAsia" w:eastAsiaTheme="minorEastAsia" w:hAnsiTheme="minorEastAsia" w:hint="eastAsia"/>
          <w:sz w:val="24"/>
          <w:szCs w:val="24"/>
        </w:rPr>
        <w:t>月，召开标准制定研究大纲评审会，提交研究大纲和标准草案。根据大纲评审意见对研究大纲进行修改。</w:t>
      </w:r>
    </w:p>
    <w:p w:rsidR="005A16B5" w:rsidRDefault="00084AF2" w:rsidP="00F851EB">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2020</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w:t>
      </w:r>
      <w:r>
        <w:rPr>
          <w:rFonts w:asciiTheme="minorEastAsia" w:eastAsiaTheme="minorEastAsia" w:hAnsiTheme="minorEastAsia" w:hint="eastAsia"/>
          <w:sz w:val="24"/>
          <w:szCs w:val="24"/>
        </w:rPr>
        <w:t>月，开展相关技术企业和港口的调研和技术交流。</w:t>
      </w:r>
    </w:p>
    <w:p w:rsidR="005A16B5" w:rsidRDefault="00084AF2" w:rsidP="00F851EB">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4、2020年</w:t>
      </w:r>
      <w:r>
        <w:rPr>
          <w:rFonts w:asciiTheme="minorEastAsia" w:eastAsiaTheme="minorEastAsia" w:hAnsiTheme="minorEastAsia"/>
          <w:sz w:val="24"/>
          <w:szCs w:val="24"/>
        </w:rPr>
        <w:t>2</w:t>
      </w:r>
      <w:r>
        <w:rPr>
          <w:rFonts w:asciiTheme="minorEastAsia" w:eastAsiaTheme="minorEastAsia" w:hAnsiTheme="minorEastAsia" w:hint="eastAsia"/>
          <w:sz w:val="24"/>
          <w:szCs w:val="24"/>
        </w:rPr>
        <w:t>-6月，在标准草案的基础上，编写组反复讨论修改，完成了征求意见稿（初稿）。</w:t>
      </w:r>
    </w:p>
    <w:p w:rsidR="005A16B5" w:rsidRDefault="00084AF2" w:rsidP="00F851EB">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5、2020年7月，完成征求意见稿，并进行意见征询。</w:t>
      </w:r>
    </w:p>
    <w:p w:rsidR="005A16B5" w:rsidRDefault="00084AF2" w:rsidP="00F851EB">
      <w:pPr>
        <w:spacing w:beforeLines="50" w:line="360" w:lineRule="auto"/>
        <w:outlineLvl w:val="0"/>
        <w:rPr>
          <w:rFonts w:ascii="黑体" w:eastAsia="黑体" w:hAnsi="黑体"/>
          <w:szCs w:val="21"/>
        </w:rPr>
      </w:pPr>
      <w:bookmarkStart w:id="10" w:name="_Toc26972784"/>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标准编制原则和确定标准主要内容</w:t>
      </w:r>
      <w:r>
        <w:rPr>
          <w:rFonts w:asciiTheme="minorEastAsia" w:eastAsiaTheme="minorEastAsia" w:hAnsiTheme="minorEastAsia" w:hint="eastAsia"/>
          <w:b/>
          <w:sz w:val="24"/>
          <w:szCs w:val="24"/>
        </w:rPr>
        <w:t>的论据</w:t>
      </w:r>
      <w:bookmarkEnd w:id="10"/>
    </w:p>
    <w:p w:rsidR="005A16B5" w:rsidRDefault="00084AF2" w:rsidP="00F851EB">
      <w:pPr>
        <w:spacing w:beforeLines="50" w:line="360" w:lineRule="auto"/>
        <w:outlineLvl w:val="1"/>
        <w:rPr>
          <w:rFonts w:asciiTheme="minorEastAsia" w:eastAsiaTheme="minorEastAsia" w:hAnsiTheme="minorEastAsia"/>
          <w:b/>
          <w:sz w:val="24"/>
          <w:szCs w:val="24"/>
        </w:rPr>
      </w:pPr>
      <w:bookmarkStart w:id="11" w:name="_Toc26972785"/>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标准编制原则</w:t>
      </w:r>
      <w:bookmarkEnd w:id="11"/>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本标准按GB/T 1.1—2009给出的规则起草。</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适用性原则：标准制定的相关内容应便于使用，一方面应适于直接使用，另一方面也应考虑便于被其它文件引用。</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协调性原则：应考虑标准之间的整体协调，在制定标准时应注意和已经发布的标准进行协调，遵守基础标准和采取引用的方式是保证标准协调的有效途径。</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规范性原则：起草标准时遵守与标准制定有关的基础标准和相关法律法规。</w:t>
      </w:r>
    </w:p>
    <w:p w:rsidR="005A16B5" w:rsidRDefault="00084AF2" w:rsidP="00F851EB">
      <w:pPr>
        <w:spacing w:beforeLines="50" w:line="360" w:lineRule="auto"/>
        <w:outlineLvl w:val="1"/>
        <w:rPr>
          <w:rFonts w:asciiTheme="minorEastAsia" w:eastAsiaTheme="minorEastAsia" w:hAnsiTheme="minorEastAsia"/>
          <w:b/>
          <w:sz w:val="24"/>
          <w:szCs w:val="24"/>
        </w:rPr>
      </w:pPr>
      <w:bookmarkStart w:id="12" w:name="_Toc26972786"/>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确定标准主要内容</w:t>
      </w:r>
      <w:r>
        <w:rPr>
          <w:rFonts w:asciiTheme="minorEastAsia" w:eastAsiaTheme="minorEastAsia" w:hAnsiTheme="minorEastAsia" w:hint="eastAsia"/>
          <w:b/>
          <w:sz w:val="24"/>
          <w:szCs w:val="24"/>
        </w:rPr>
        <w:t>的论据</w:t>
      </w:r>
      <w:bookmarkEnd w:id="12"/>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本标准规定了进口集装箱电子提货单（以下简称电子提货单）的一般要求、数据内容和格式要求、使用要求和数据交互要求。</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本标准适用于国际集装箱运输中电子提货单的流转和电子提货单平台的软件开发及数据交互。</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本标准主要内容：第一章范围；第二章 规范性引用文件；第三章 术语和定义；第四章 一般要求；第五章 电子提货单的数据结构及格式规范；第六章 电子提货单的使用；第七章 电子提货单的数据交互。</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本标准编制的内容包括如下：</w:t>
      </w:r>
    </w:p>
    <w:p w:rsidR="005A16B5" w:rsidRDefault="00084AF2" w:rsidP="00F851EB">
      <w:pPr>
        <w:spacing w:beforeLines="5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第一章  范围</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规定了进口集装箱电子提货单（以下简称电子提货单）的一般要求、数据内容和格式要求、使用要求和数据交互要求。本标准适用于国际集装箱运输中电子提货单的流转和电子提货单平台的软件开发及数据交互。本标准的范围基于标准编写的主要目的进行界定。</w:t>
      </w:r>
    </w:p>
    <w:p w:rsidR="005A16B5" w:rsidRDefault="00084AF2" w:rsidP="00F851EB">
      <w:pPr>
        <w:spacing w:beforeLines="5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2</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第二章 规范性引用文件</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本标准引用了如下标准：</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1992   集装箱名词术语</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17271  集装箱运输术语</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GB/T17699</w:t>
      </w:r>
      <w:r>
        <w:rPr>
          <w:rFonts w:asciiTheme="minorEastAsia" w:eastAsiaTheme="minorEastAsia" w:hAnsiTheme="minorEastAsia" w:hint="eastAsia"/>
          <w:sz w:val="24"/>
          <w:szCs w:val="24"/>
        </w:rPr>
        <w:t xml:space="preserve">  行政、商业和运输业电子数据交换数据元目录（UN</w:t>
      </w:r>
      <w:r>
        <w:rPr>
          <w:rFonts w:asciiTheme="minorEastAsia" w:eastAsiaTheme="minorEastAsia" w:hAnsiTheme="minorEastAsia"/>
          <w:sz w:val="24"/>
          <w:szCs w:val="24"/>
        </w:rPr>
        <w:t>/EDIFACT: D.13B,MOD</w:t>
      </w:r>
      <w:r>
        <w:rPr>
          <w:rFonts w:asciiTheme="minorEastAsia" w:eastAsiaTheme="minorEastAsia" w:hAnsiTheme="minorEastAsia" w:hint="eastAsia"/>
          <w:sz w:val="24"/>
          <w:szCs w:val="24"/>
        </w:rPr>
        <w:t>）</w:t>
      </w:r>
    </w:p>
    <w:p w:rsidR="005A16B5" w:rsidRDefault="00084AF2" w:rsidP="00F851EB">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引用上述这些标准，其中一些标准涉及术语的引用，一些标准涉及EDI报文内容及格式引用等。</w:t>
      </w:r>
    </w:p>
    <w:p w:rsidR="005A16B5" w:rsidRDefault="005A16B5" w:rsidP="00F851EB">
      <w:pPr>
        <w:spacing w:beforeLines="50" w:line="360" w:lineRule="auto"/>
        <w:ind w:firstLineChars="200" w:firstLine="480"/>
        <w:rPr>
          <w:rFonts w:asciiTheme="minorEastAsia" w:eastAsiaTheme="minorEastAsia" w:hAnsiTheme="minorEastAsia"/>
          <w:sz w:val="24"/>
          <w:szCs w:val="24"/>
        </w:rPr>
      </w:pPr>
    </w:p>
    <w:p w:rsidR="005A16B5" w:rsidRDefault="00084AF2" w:rsidP="00F851EB">
      <w:pPr>
        <w:spacing w:beforeLines="50" w:line="360" w:lineRule="auto"/>
        <w:outlineLvl w:val="1"/>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3</w:t>
      </w:r>
      <w:r>
        <w:rPr>
          <w:rFonts w:asciiTheme="minorEastAsia" w:eastAsiaTheme="minorEastAsia" w:hAnsiTheme="minorEastAsia" w:hint="eastAsia"/>
          <w:b/>
          <w:color w:val="000000" w:themeColor="text1"/>
          <w:sz w:val="24"/>
          <w:szCs w:val="24"/>
        </w:rPr>
        <w:t>.第三章  术语和定义</w:t>
      </w:r>
    </w:p>
    <w:p w:rsidR="005A16B5" w:rsidRDefault="00084AF2" w:rsidP="00F851EB">
      <w:pPr>
        <w:spacing w:beforeLines="50" w:line="360" w:lineRule="auto"/>
        <w:outlineLvl w:val="1"/>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该部分主要阐述了在电子提货单的生成</w:t>
      </w:r>
      <w:r>
        <w:rPr>
          <w:rFonts w:asciiTheme="minorEastAsia" w:eastAsiaTheme="minorEastAsia" w:hAnsiTheme="minorEastAsia" w:hint="eastAsia"/>
          <w:color w:val="000000" w:themeColor="text1"/>
          <w:sz w:val="24"/>
          <w:szCs w:val="24"/>
        </w:rPr>
        <w:t>、流转</w:t>
      </w:r>
      <w:r>
        <w:rPr>
          <w:rFonts w:asciiTheme="minorEastAsia" w:eastAsiaTheme="minorEastAsia" w:hAnsiTheme="minorEastAsia"/>
          <w:color w:val="000000" w:themeColor="text1"/>
          <w:sz w:val="24"/>
          <w:szCs w:val="24"/>
        </w:rPr>
        <w:t>和核销过程中所涉及的术语和相关定义</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因为电子提货单是提货单的数字化形式</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且其生成</w:t>
      </w:r>
      <w:r>
        <w:rPr>
          <w:rFonts w:asciiTheme="minorEastAsia" w:eastAsiaTheme="minorEastAsia" w:hAnsiTheme="minorEastAsia" w:hint="eastAsia"/>
          <w:color w:val="000000" w:themeColor="text1"/>
          <w:sz w:val="24"/>
          <w:szCs w:val="24"/>
        </w:rPr>
        <w:t>、流转及核销需依托于电子提货单平台，因此首先对提货单、电子提货单和电子提货单平台进行了定义。提货操作往往由收货人委托或授权相关单位或个人进行，因此定义了</w:t>
      </w:r>
      <w:r>
        <w:rPr>
          <w:rFonts w:asciiTheme="minorEastAsia" w:eastAsiaTheme="minorEastAsia" w:hAnsiTheme="minorEastAsia" w:hint="eastAsia"/>
          <w:color w:val="000000" w:themeColor="text1"/>
          <w:sz w:val="24"/>
          <w:szCs w:val="24"/>
        </w:rPr>
        <w:lastRenderedPageBreak/>
        <w:t>提货授权人，该信息需以报文形式发送，且在电子提货单平台备案。因电子提货单生成、流转、核销的原始信息均以EDI报文的形式发送和接收，本标准定义了提货单报文、授权报文、回执报文和取消报文，这四类报文是电子提货单的主要数据发送和接收载体。提箱密码是电子提货单流转过程中所涉及的必不可少的相关单证和数据，因此在本标准中也对其进行了定义。</w:t>
      </w:r>
    </w:p>
    <w:p w:rsidR="005A16B5" w:rsidRDefault="00084AF2" w:rsidP="00F851EB">
      <w:pPr>
        <w:spacing w:beforeLines="50" w:line="360" w:lineRule="auto"/>
        <w:outlineLvl w:val="1"/>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4</w:t>
      </w:r>
      <w:r>
        <w:rPr>
          <w:rFonts w:asciiTheme="minorEastAsia" w:eastAsiaTheme="minorEastAsia" w:hAnsiTheme="minorEastAsia" w:hint="eastAsia"/>
          <w:b/>
          <w:color w:val="000000" w:themeColor="text1"/>
          <w:sz w:val="24"/>
          <w:szCs w:val="24"/>
        </w:rPr>
        <w:t>.第四章 一般要求</w:t>
      </w:r>
    </w:p>
    <w:p w:rsidR="005A16B5" w:rsidRDefault="00084AF2" w:rsidP="00F851EB">
      <w:pPr>
        <w:spacing w:beforeLines="50" w:line="360" w:lineRule="auto"/>
        <w:ind w:firstLine="4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部分主要规定了电子提货单及电子提货单平台运行的具有共性的基本要求，主要从设备硬件和功能需求以及平台运行中的数据安全要求两方面进行规定。设备方面主要参照目前具备类似功用的服务端设备和终端设备的硬件和功能需求，具有一定的普遍性和广泛性；数据安全主要参照目前电子提货单平台的安全要求，根据平台运营至今的反馈，具备一定的科学性、合理性和可靠性。</w:t>
      </w:r>
    </w:p>
    <w:p w:rsidR="005A16B5" w:rsidRDefault="00084AF2" w:rsidP="00F851EB">
      <w:pPr>
        <w:spacing w:beforeLines="50" w:line="360" w:lineRule="auto"/>
        <w:outlineLvl w:val="1"/>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5</w:t>
      </w:r>
      <w:r>
        <w:rPr>
          <w:rFonts w:asciiTheme="minorEastAsia" w:eastAsiaTheme="minorEastAsia" w:hAnsiTheme="minorEastAsia" w:hint="eastAsia"/>
          <w:b/>
          <w:color w:val="000000" w:themeColor="text1"/>
          <w:sz w:val="24"/>
          <w:szCs w:val="24"/>
        </w:rPr>
        <w:t>.第五章 电子提货单的数据结构及格式规范</w:t>
      </w:r>
    </w:p>
    <w:p w:rsidR="005A16B5" w:rsidRDefault="00084AF2" w:rsidP="00F851EB">
      <w:pPr>
        <w:spacing w:beforeLines="50"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部分主要定义了电子提货单在数据库中的结构及格式。电子提货单平台并不涉及对提货单信息进行修改的功能，仅仅对相关数据进行读取。平台的主要数据来源为数据发送和接收的4类报文，具体格式在第七章有相关要求。该部分主要包含提货单数据和授权数据。其中提货单数据的来源为提货单报文，相关的数据内容和格式（主要包括字段、名称、类型、必填、长度、格式要求等）均与提货单报文一致。授权数据主要来源为授权报文，相关的数据内容和格式（主要包括字段、名称、类型、必填、长度、格式要求等）均与授权报文一致。为了实现纸质提货单向电子提货单过渡，本标准也推荐了电子提货单在屏幕显示方式的图文表示格式，主要参照和借鉴了现有纸质提货单的基本形式，在附件中给出。</w:t>
      </w:r>
    </w:p>
    <w:p w:rsidR="005A16B5" w:rsidRDefault="00084AF2" w:rsidP="00F851EB">
      <w:pPr>
        <w:spacing w:beforeLines="50" w:line="360" w:lineRule="auto"/>
        <w:outlineLvl w:val="1"/>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6</w:t>
      </w:r>
      <w:r>
        <w:rPr>
          <w:rFonts w:asciiTheme="minorEastAsia" w:eastAsiaTheme="minorEastAsia" w:hAnsiTheme="minorEastAsia" w:hint="eastAsia"/>
          <w:b/>
          <w:color w:val="000000" w:themeColor="text1"/>
          <w:sz w:val="24"/>
          <w:szCs w:val="24"/>
        </w:rPr>
        <w:t>.第六章 电子提货单的使用</w:t>
      </w:r>
    </w:p>
    <w:p w:rsidR="005A16B5" w:rsidRDefault="00084AF2" w:rsidP="00F851EB">
      <w:pPr>
        <w:spacing w:beforeLines="50"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部分主要规定了电子提货单的生成与授权、修改与取消、流转与核销。其中电子提货单的生成与授权主要数据来源为提货单报文和授权报文，该过程涉及相关报文的发送，接收方收到相关信息后，应向发送方发送回执报文。相关信息确认后，关联至受理注册账户内，该部分的操作与纸质提货单操作类似，</w:t>
      </w:r>
      <w:r>
        <w:rPr>
          <w:rFonts w:asciiTheme="minorEastAsia" w:eastAsiaTheme="minorEastAsia" w:hAnsiTheme="minorEastAsia" w:hint="eastAsia"/>
          <w:color w:val="000000" w:themeColor="text1"/>
          <w:sz w:val="24"/>
          <w:szCs w:val="24"/>
        </w:rPr>
        <w:lastRenderedPageBreak/>
        <w:t>只是数据载体发生变化。电子提货单的修改与取消，是在提箱业务受理前对提货单信息进行修改或取消的操作，主要通过取消报文发送来实现的，接收方收到相关信息后，应向发送方发送回执报文。电子提货单的流转与核销主要涉及提货单报文、授权报文、海关放行信息、码头舱单、电子设备交接单信息的比对校验，信息一致则安排提箱业务，待提箱作业完成，则系统对电子提货单进行核销。该部分的规定参照了传统纸质提货单使用过程中的操作习惯以及目前电子提货单平台的操作规程。</w:t>
      </w:r>
    </w:p>
    <w:p w:rsidR="005A16B5" w:rsidRDefault="00084AF2" w:rsidP="00F851EB">
      <w:pPr>
        <w:spacing w:beforeLines="50" w:line="360" w:lineRule="auto"/>
        <w:outlineLvl w:val="1"/>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7</w:t>
      </w:r>
      <w:r>
        <w:rPr>
          <w:rFonts w:asciiTheme="minorEastAsia" w:eastAsiaTheme="minorEastAsia" w:hAnsiTheme="minorEastAsia" w:hint="eastAsia"/>
          <w:b/>
          <w:color w:val="000000" w:themeColor="text1"/>
          <w:sz w:val="24"/>
          <w:szCs w:val="24"/>
        </w:rPr>
        <w:t>.第七章 电子提货单的数据交互</w:t>
      </w:r>
    </w:p>
    <w:p w:rsidR="005A16B5" w:rsidRDefault="00084AF2" w:rsidP="00F851EB">
      <w:pPr>
        <w:spacing w:beforeLines="50"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该部分主要规定了电子提货单的数据交互要求。由于电子提货单的相关数据均采用EDI的形式进行数据交互，数据元的规定应符合</w:t>
      </w:r>
      <w:r>
        <w:rPr>
          <w:rFonts w:asciiTheme="minorEastAsia" w:eastAsiaTheme="minorEastAsia" w:hAnsiTheme="minorEastAsia"/>
          <w:color w:val="000000" w:themeColor="text1"/>
          <w:sz w:val="24"/>
          <w:szCs w:val="24"/>
        </w:rPr>
        <w:t>GB/T17699的相关要求</w:t>
      </w:r>
      <w:r>
        <w:rPr>
          <w:rFonts w:asciiTheme="minorEastAsia" w:eastAsiaTheme="minorEastAsia" w:hAnsiTheme="minorEastAsia" w:hint="eastAsia"/>
          <w:color w:val="000000" w:themeColor="text1"/>
          <w:sz w:val="24"/>
          <w:szCs w:val="24"/>
        </w:rPr>
        <w:t>。提货单报文主要包括头信息、船信息、提单信息和箱信息；授权报文主要包括头信息、授权报文信息；取消报文主要包括头信息、取消报文放箱信息；回执报文主要包括头信息、回执报文信息。由于纸质提货单的使用也主要依赖上述4类报文的发送和接收，因此关于报文的内容与格式（主要包括英文名称、中文解释、数据类型/长度、是否必填、填写说明等）均与纸质提货单的相关报文相一致。</w:t>
      </w:r>
    </w:p>
    <w:p w:rsidR="005A16B5" w:rsidRDefault="00084AF2" w:rsidP="00F851EB">
      <w:pPr>
        <w:spacing w:beforeLines="50" w:line="360" w:lineRule="auto"/>
        <w:outlineLvl w:val="0"/>
        <w:rPr>
          <w:rFonts w:asciiTheme="minorEastAsia" w:eastAsiaTheme="minorEastAsia" w:hAnsiTheme="minorEastAsia"/>
          <w:b/>
          <w:sz w:val="24"/>
          <w:szCs w:val="24"/>
        </w:rPr>
      </w:pPr>
      <w:bookmarkStart w:id="13" w:name="_Toc26972787"/>
      <w:r>
        <w:rPr>
          <w:rFonts w:asciiTheme="minorEastAsia" w:eastAsiaTheme="minorEastAsia" w:hAnsiTheme="minorEastAsia" w:hint="eastAsia"/>
          <w:b/>
          <w:sz w:val="24"/>
          <w:szCs w:val="24"/>
        </w:rPr>
        <w:t>三、主</w:t>
      </w:r>
      <w:r>
        <w:rPr>
          <w:rFonts w:asciiTheme="minorEastAsia" w:eastAsiaTheme="minorEastAsia" w:hAnsiTheme="minorEastAsia"/>
          <w:b/>
          <w:sz w:val="24"/>
          <w:szCs w:val="24"/>
        </w:rPr>
        <w:t>要试验（或验证）的分析、综述报告，技术经济论证，预期的经济效果</w:t>
      </w:r>
      <w:bookmarkEnd w:id="13"/>
    </w:p>
    <w:p w:rsidR="005A16B5" w:rsidRDefault="00084AF2" w:rsidP="00F851EB">
      <w:pPr>
        <w:spacing w:beforeLines="50" w:line="360" w:lineRule="auto"/>
        <w:ind w:firstLineChars="200" w:firstLine="480"/>
        <w:rPr>
          <w:rFonts w:ascii="宋体" w:hAnsi="宋体"/>
          <w:sz w:val="24"/>
          <w:szCs w:val="24"/>
        </w:rPr>
      </w:pPr>
      <w:r>
        <w:rPr>
          <w:rFonts w:ascii="宋体" w:hAnsi="宋体" w:hint="eastAsia"/>
          <w:sz w:val="24"/>
          <w:szCs w:val="24"/>
        </w:rPr>
        <w:t>自20</w:t>
      </w:r>
      <w:r>
        <w:rPr>
          <w:rFonts w:ascii="宋体" w:hAnsi="宋体"/>
          <w:sz w:val="24"/>
          <w:szCs w:val="24"/>
        </w:rPr>
        <w:t>14</w:t>
      </w:r>
      <w:r>
        <w:rPr>
          <w:rFonts w:ascii="宋体" w:hAnsi="宋体" w:hint="eastAsia"/>
          <w:sz w:val="24"/>
          <w:szCs w:val="24"/>
        </w:rPr>
        <w:t>年</w:t>
      </w:r>
      <w:r>
        <w:rPr>
          <w:rFonts w:ascii="宋体" w:hAnsi="宋体"/>
          <w:sz w:val="24"/>
          <w:szCs w:val="24"/>
        </w:rPr>
        <w:t>11</w:t>
      </w:r>
      <w:r>
        <w:rPr>
          <w:rFonts w:ascii="宋体" w:hAnsi="宋体" w:hint="eastAsia"/>
          <w:sz w:val="24"/>
          <w:szCs w:val="24"/>
        </w:rPr>
        <w:t>月起，上海口岸海关、国检对从上海海运、空运口岸进出境货物全面实施“放行信息电子化”，取消原本提货单上加盖的海关章、国检章，完全以电子放行信息替代。</w:t>
      </w:r>
      <w:r>
        <w:rPr>
          <w:rFonts w:ascii="宋体" w:hAnsi="宋体"/>
          <w:sz w:val="24"/>
          <w:szCs w:val="24"/>
        </w:rPr>
        <w:t>自2019年7月1日起，上海港</w:t>
      </w:r>
      <w:r>
        <w:rPr>
          <w:rFonts w:ascii="宋体" w:hAnsi="宋体" w:hint="eastAsia"/>
          <w:sz w:val="24"/>
          <w:szCs w:val="24"/>
        </w:rPr>
        <w:t>1</w:t>
      </w:r>
      <w:r>
        <w:rPr>
          <w:rFonts w:ascii="宋体" w:hAnsi="宋体"/>
          <w:sz w:val="24"/>
          <w:szCs w:val="24"/>
        </w:rPr>
        <w:t>0家</w:t>
      </w:r>
      <w:r>
        <w:rPr>
          <w:rFonts w:ascii="宋体" w:hAnsi="宋体" w:hint="eastAsia"/>
          <w:sz w:val="24"/>
          <w:szCs w:val="24"/>
        </w:rPr>
        <w:t>先行试点</w:t>
      </w:r>
      <w:r>
        <w:rPr>
          <w:rFonts w:ascii="宋体" w:hAnsi="宋体"/>
          <w:sz w:val="24"/>
          <w:szCs w:val="24"/>
        </w:rPr>
        <w:t>船代公司开始全面实施进口提货单无纸化，不再接受纸质提货单。随着电子设备交接单的全面上线</w:t>
      </w:r>
      <w:r>
        <w:rPr>
          <w:rFonts w:ascii="宋体" w:hAnsi="宋体" w:hint="eastAsia"/>
          <w:sz w:val="24"/>
          <w:szCs w:val="24"/>
        </w:rPr>
        <w:t>，</w:t>
      </w:r>
      <w:r>
        <w:rPr>
          <w:rFonts w:ascii="宋体" w:hAnsi="宋体"/>
          <w:sz w:val="24"/>
          <w:szCs w:val="24"/>
        </w:rPr>
        <w:t>进口集装箱全流程电子化提箱</w:t>
      </w:r>
      <w:r>
        <w:rPr>
          <w:rFonts w:ascii="宋体" w:hAnsi="宋体" w:hint="eastAsia"/>
          <w:sz w:val="24"/>
          <w:szCs w:val="24"/>
        </w:rPr>
        <w:t>，</w:t>
      </w:r>
      <w:r>
        <w:rPr>
          <w:rFonts w:ascii="宋体" w:hAnsi="宋体"/>
          <w:sz w:val="24"/>
          <w:szCs w:val="24"/>
        </w:rPr>
        <w:t>这是</w:t>
      </w:r>
      <w:r>
        <w:rPr>
          <w:rFonts w:ascii="宋体" w:hAnsi="宋体" w:hint="eastAsia"/>
          <w:sz w:val="24"/>
          <w:szCs w:val="24"/>
        </w:rPr>
        <w:t>实现上海优化营商环境“2.0”版在跨境贸易方面所明确的改革目标和改革任务之一，也是</w:t>
      </w:r>
      <w:r>
        <w:rPr>
          <w:rFonts w:ascii="宋体" w:hAnsi="宋体"/>
          <w:sz w:val="24"/>
          <w:szCs w:val="24"/>
        </w:rPr>
        <w:t>上海港在保持规模优势的同时，向全世界亮出一张以通关效率为核心竞争力的“营商牌”，让上海国际航运中心的品牌在全球范围内更具影响力与吸引力。</w:t>
      </w:r>
    </w:p>
    <w:p w:rsidR="005A16B5" w:rsidRDefault="00084AF2" w:rsidP="00F851EB">
      <w:pPr>
        <w:spacing w:beforeLines="50" w:line="360" w:lineRule="auto"/>
        <w:ind w:firstLineChars="200" w:firstLine="480"/>
        <w:rPr>
          <w:rFonts w:ascii="宋体" w:hAnsi="宋体"/>
          <w:sz w:val="24"/>
          <w:szCs w:val="24"/>
        </w:rPr>
      </w:pPr>
      <w:r>
        <w:rPr>
          <w:rFonts w:ascii="宋体" w:hAnsi="宋体" w:hint="eastAsia"/>
          <w:sz w:val="24"/>
          <w:szCs w:val="24"/>
        </w:rPr>
        <w:t>建立电子提货单的相关标准，便于在已推行提货单电子化的港口，进行电子提货单内容和使用规则的规范，使得单证流转过程中，所涉各方权责明确，</w:t>
      </w:r>
      <w:r>
        <w:rPr>
          <w:rFonts w:ascii="宋体" w:hAnsi="宋体" w:hint="eastAsia"/>
          <w:sz w:val="24"/>
          <w:szCs w:val="24"/>
        </w:rPr>
        <w:lastRenderedPageBreak/>
        <w:t>提高单证流转效率，减少纠纷。对于有意向推行该业务电子化的港口，也有很好的指导作用。建立电子提货单的相关标准，对于在全国行业范围内推行相关业务的电子化流转，</w:t>
      </w:r>
      <w:r>
        <w:rPr>
          <w:rFonts w:ascii="宋体" w:hAnsi="宋体"/>
          <w:sz w:val="24"/>
          <w:szCs w:val="24"/>
        </w:rPr>
        <w:t>提高业务办理的效率，降低人工操作成本和企业物流成本</w:t>
      </w:r>
      <w:r>
        <w:rPr>
          <w:rFonts w:ascii="宋体" w:hAnsi="宋体" w:hint="eastAsia"/>
          <w:sz w:val="24"/>
          <w:szCs w:val="24"/>
        </w:rPr>
        <w:t>等都有重大意义，有利于进一步改善跨境贸易营商环境，对于加快“一带一路”建设有巨大的助推作用。</w:t>
      </w:r>
    </w:p>
    <w:p w:rsidR="005A16B5" w:rsidRDefault="00084AF2" w:rsidP="00F851EB">
      <w:pPr>
        <w:spacing w:beforeLines="50" w:line="360" w:lineRule="auto"/>
        <w:ind w:firstLineChars="200" w:firstLine="480"/>
        <w:rPr>
          <w:rFonts w:ascii="宋体" w:hAnsi="宋体"/>
          <w:sz w:val="24"/>
          <w:szCs w:val="24"/>
        </w:rPr>
      </w:pPr>
      <w:r>
        <w:rPr>
          <w:rFonts w:ascii="宋体" w:hAnsi="宋体" w:hint="eastAsia"/>
          <w:sz w:val="24"/>
          <w:szCs w:val="24"/>
        </w:rPr>
        <w:t>总之，本标准的修订，并随标准的宣贯，定会取得一定的经济效益和社会效益。</w:t>
      </w:r>
    </w:p>
    <w:p w:rsidR="005A16B5" w:rsidRDefault="00084AF2" w:rsidP="00F851EB">
      <w:pPr>
        <w:spacing w:beforeLines="50" w:line="360" w:lineRule="auto"/>
        <w:outlineLvl w:val="0"/>
        <w:rPr>
          <w:rFonts w:asciiTheme="minorEastAsia" w:eastAsiaTheme="minorEastAsia" w:hAnsiTheme="minorEastAsia"/>
          <w:b/>
          <w:sz w:val="24"/>
          <w:szCs w:val="24"/>
        </w:rPr>
      </w:pPr>
      <w:bookmarkStart w:id="14" w:name="_Toc26972788"/>
      <w:r>
        <w:rPr>
          <w:rFonts w:asciiTheme="minorEastAsia" w:eastAsiaTheme="minorEastAsia" w:hAnsiTheme="minorEastAsia" w:hint="eastAsia"/>
          <w:b/>
          <w:sz w:val="24"/>
          <w:szCs w:val="24"/>
        </w:rPr>
        <w:t>四、</w:t>
      </w:r>
      <w:r>
        <w:rPr>
          <w:rFonts w:asciiTheme="minorEastAsia" w:eastAsiaTheme="minorEastAsia" w:hAnsiTheme="minorEastAsia"/>
          <w:b/>
          <w:sz w:val="24"/>
          <w:szCs w:val="24"/>
        </w:rPr>
        <w:t>采用国际标准和国外先进标准的程度，以及与国际、国外同类标准水平的对比情况，或与测试的国外样品、样机的有关数据对比情况</w:t>
      </w:r>
      <w:bookmarkEnd w:id="14"/>
    </w:p>
    <w:p w:rsidR="005A16B5" w:rsidRDefault="00084AF2" w:rsidP="00F851EB">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虽然国际上已推行了进口集装箱电子提货单业务，但并未建立相关标准。因标准的起草制定，均以国际上已推行的进口集装箱电子提货单业务为依据，故相关的数据格式、数据安全、单证流转、数据交互等均为国际标准水平。</w:t>
      </w:r>
    </w:p>
    <w:p w:rsidR="005A16B5" w:rsidRDefault="00084AF2" w:rsidP="00F851EB">
      <w:pPr>
        <w:spacing w:beforeLines="50" w:line="360" w:lineRule="auto"/>
        <w:outlineLvl w:val="0"/>
        <w:rPr>
          <w:rFonts w:asciiTheme="minorEastAsia" w:eastAsiaTheme="minorEastAsia" w:hAnsiTheme="minorEastAsia"/>
          <w:b/>
          <w:sz w:val="24"/>
          <w:szCs w:val="24"/>
        </w:rPr>
      </w:pPr>
      <w:bookmarkStart w:id="15" w:name="_Toc26972789"/>
      <w:r>
        <w:rPr>
          <w:rFonts w:asciiTheme="minorEastAsia" w:eastAsiaTheme="minorEastAsia" w:hAnsiTheme="minorEastAsia" w:hint="eastAsia"/>
          <w:b/>
          <w:sz w:val="24"/>
          <w:szCs w:val="24"/>
        </w:rPr>
        <w:t>五、</w:t>
      </w:r>
      <w:r>
        <w:rPr>
          <w:rFonts w:asciiTheme="minorEastAsia" w:eastAsiaTheme="minorEastAsia" w:hAnsiTheme="minorEastAsia"/>
          <w:b/>
          <w:sz w:val="24"/>
          <w:szCs w:val="24"/>
        </w:rPr>
        <w:t>与有关的现行法律、法规和强制性标准的关系</w:t>
      </w:r>
      <w:bookmarkEnd w:id="15"/>
    </w:p>
    <w:p w:rsidR="005A16B5" w:rsidRDefault="00084AF2" w:rsidP="00F851EB">
      <w:pPr>
        <w:spacing w:beforeLines="50" w:line="360" w:lineRule="auto"/>
        <w:ind w:firstLine="480"/>
        <w:rPr>
          <w:rFonts w:asciiTheme="majorEastAsia" w:eastAsiaTheme="majorEastAsia" w:hAnsiTheme="majorEastAsia"/>
          <w:sz w:val="24"/>
          <w:szCs w:val="24"/>
        </w:rPr>
      </w:pPr>
      <w:bookmarkStart w:id="16" w:name="_Toc26972790"/>
      <w:r>
        <w:rPr>
          <w:rFonts w:asciiTheme="majorEastAsia" w:eastAsiaTheme="majorEastAsia" w:hAnsiTheme="majorEastAsia" w:hint="eastAsia"/>
          <w:sz w:val="24"/>
          <w:szCs w:val="24"/>
        </w:rPr>
        <w:t>本标准引用了GB/T 1992《集装箱名词术语》和GB/T 17271《集装箱运输术语》，主要是因为在电子提货单的相关数据和使用中，涉及到上述标准内规定的相关术语，并未在本标准中进行定义，采用了引用的方式。</w:t>
      </w:r>
    </w:p>
    <w:p w:rsidR="005A16B5" w:rsidRDefault="00084AF2" w:rsidP="00F851EB">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本标准引用了</w:t>
      </w:r>
      <w:r>
        <w:rPr>
          <w:rFonts w:asciiTheme="majorEastAsia" w:eastAsiaTheme="majorEastAsia" w:hAnsiTheme="majorEastAsia"/>
          <w:sz w:val="24"/>
          <w:szCs w:val="24"/>
        </w:rPr>
        <w:t>GB/T17699</w:t>
      </w:r>
      <w:r>
        <w:rPr>
          <w:rFonts w:asciiTheme="majorEastAsia" w:eastAsiaTheme="majorEastAsia" w:hAnsiTheme="majorEastAsia" w:hint="eastAsia"/>
          <w:sz w:val="24"/>
          <w:szCs w:val="24"/>
        </w:rPr>
        <w:t>《行政、商业和运输业电子数据交换数据元目录（UN</w:t>
      </w:r>
      <w:r>
        <w:rPr>
          <w:rFonts w:asciiTheme="majorEastAsia" w:eastAsiaTheme="majorEastAsia" w:hAnsiTheme="majorEastAsia"/>
          <w:sz w:val="24"/>
          <w:szCs w:val="24"/>
        </w:rPr>
        <w:t>/EDIFACT: D.13B,MOD</w:t>
      </w:r>
      <w:r>
        <w:rPr>
          <w:rFonts w:asciiTheme="majorEastAsia" w:eastAsiaTheme="majorEastAsia" w:hAnsiTheme="majorEastAsia" w:hint="eastAsia"/>
          <w:sz w:val="24"/>
          <w:szCs w:val="24"/>
        </w:rPr>
        <w:t>）》，主要是在电子提货单报文内容和格式方面，参照了该标准。</w:t>
      </w:r>
    </w:p>
    <w:p w:rsidR="005A16B5" w:rsidRDefault="00084AF2" w:rsidP="00F851EB">
      <w:pPr>
        <w:spacing w:beforeLines="5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b/>
          <w:sz w:val="24"/>
          <w:szCs w:val="24"/>
        </w:rPr>
        <w:t>重大分歧意见的处理经过和依据</w:t>
      </w:r>
      <w:bookmarkEnd w:id="16"/>
    </w:p>
    <w:p w:rsidR="005A16B5" w:rsidRDefault="00084AF2" w:rsidP="00F851EB">
      <w:pPr>
        <w:spacing w:beforeLines="50" w:line="360" w:lineRule="auto"/>
        <w:ind w:firstLine="420"/>
        <w:rPr>
          <w:rFonts w:asciiTheme="minorEastAsia" w:eastAsiaTheme="minorEastAsia" w:hAnsiTheme="minorEastAsia"/>
          <w:b/>
          <w:sz w:val="24"/>
          <w:szCs w:val="24"/>
        </w:rPr>
      </w:pPr>
      <w:r>
        <w:rPr>
          <w:rFonts w:hint="eastAsia"/>
          <w:sz w:val="24"/>
          <w:szCs w:val="24"/>
        </w:rPr>
        <w:t>无。</w:t>
      </w:r>
      <w:bookmarkStart w:id="17" w:name="_Toc26972791"/>
    </w:p>
    <w:p w:rsidR="005A16B5" w:rsidRDefault="005A16B5" w:rsidP="00F851EB">
      <w:pPr>
        <w:spacing w:beforeLines="50" w:line="360" w:lineRule="auto"/>
        <w:outlineLvl w:val="0"/>
        <w:rPr>
          <w:rFonts w:asciiTheme="minorEastAsia" w:eastAsiaTheme="minorEastAsia" w:hAnsiTheme="minorEastAsia"/>
          <w:b/>
          <w:sz w:val="24"/>
          <w:szCs w:val="24"/>
        </w:rPr>
      </w:pPr>
      <w:bookmarkStart w:id="18" w:name="_Toc26972792"/>
      <w:bookmarkEnd w:id="17"/>
    </w:p>
    <w:p w:rsidR="005A16B5" w:rsidRDefault="00084AF2" w:rsidP="00F851EB">
      <w:pPr>
        <w:spacing w:beforeLines="5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贯彻标准的要求和措施建议（包括组织措施、技术措施、过渡办法等内容）</w:t>
      </w:r>
      <w:bookmarkEnd w:id="18"/>
    </w:p>
    <w:p w:rsidR="005A16B5" w:rsidRDefault="00084AF2" w:rsidP="00F851EB">
      <w:pPr>
        <w:spacing w:beforeLines="50"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（1）在本标准发布后，开展对本标准的宣传和贯彻的培训，规范进口集装箱提货单电子化中的数据安全与业务流程，确保进口集装箱提货业务的顺利进</w:t>
      </w:r>
      <w:r>
        <w:rPr>
          <w:rFonts w:asciiTheme="minorEastAsia" w:eastAsiaTheme="minorEastAsia" w:hAnsiTheme="minorEastAsia" w:hint="eastAsia"/>
          <w:sz w:val="24"/>
          <w:szCs w:val="24"/>
        </w:rPr>
        <w:lastRenderedPageBreak/>
        <w:t>行。</w:t>
      </w:r>
    </w:p>
    <w:p w:rsidR="005A16B5" w:rsidRDefault="00084AF2" w:rsidP="00F851EB">
      <w:pPr>
        <w:spacing w:beforeLines="50"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已经推行进口集装箱提货单电子化业务的企业，应严格依照本标准的相关规定，推行无纸化流转；正在推行相关业务的企业，可依照本标准的相关规定并行纸质提货单进行业务流转，直至最终实现业务的全面无纸化。</w:t>
      </w:r>
    </w:p>
    <w:p w:rsidR="005A16B5" w:rsidRDefault="00084AF2" w:rsidP="00F851EB">
      <w:pPr>
        <w:spacing w:beforeLines="50" w:line="360" w:lineRule="auto"/>
        <w:outlineLvl w:val="0"/>
        <w:rPr>
          <w:rFonts w:asciiTheme="minorEastAsia" w:eastAsiaTheme="minorEastAsia" w:hAnsiTheme="minorEastAsia"/>
          <w:b/>
          <w:sz w:val="24"/>
          <w:szCs w:val="24"/>
        </w:rPr>
      </w:pPr>
      <w:bookmarkStart w:id="19" w:name="_Toc26972793"/>
      <w:r>
        <w:rPr>
          <w:rFonts w:asciiTheme="minorEastAsia" w:eastAsiaTheme="minorEastAsia" w:hAnsiTheme="minorEastAsia" w:hint="eastAsia"/>
          <w:b/>
          <w:sz w:val="24"/>
          <w:szCs w:val="24"/>
        </w:rPr>
        <w:t>八、</w:t>
      </w:r>
      <w:r>
        <w:rPr>
          <w:rFonts w:asciiTheme="minorEastAsia" w:eastAsiaTheme="minorEastAsia" w:hAnsiTheme="minorEastAsia"/>
          <w:b/>
          <w:sz w:val="24"/>
          <w:szCs w:val="24"/>
        </w:rPr>
        <w:t>废止现行有关标准的建议</w:t>
      </w:r>
      <w:bookmarkEnd w:id="19"/>
    </w:p>
    <w:p w:rsidR="005A16B5" w:rsidRDefault="00084AF2" w:rsidP="00F851EB">
      <w:pPr>
        <w:spacing w:beforeLines="50" w:line="360" w:lineRule="auto"/>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rsidR="005A16B5" w:rsidRDefault="00084AF2" w:rsidP="00F851EB">
      <w:pPr>
        <w:spacing w:beforeLines="50" w:line="360" w:lineRule="auto"/>
        <w:outlineLvl w:val="0"/>
        <w:rPr>
          <w:rFonts w:asciiTheme="minorEastAsia" w:eastAsiaTheme="minorEastAsia" w:hAnsiTheme="minorEastAsia"/>
          <w:b/>
          <w:sz w:val="24"/>
          <w:szCs w:val="24"/>
        </w:rPr>
      </w:pPr>
      <w:bookmarkStart w:id="20" w:name="_Toc26972794"/>
      <w:r>
        <w:rPr>
          <w:rFonts w:asciiTheme="minorEastAsia" w:eastAsiaTheme="minorEastAsia" w:hAnsiTheme="minorEastAsia" w:hint="eastAsia"/>
          <w:b/>
          <w:sz w:val="24"/>
          <w:szCs w:val="24"/>
        </w:rPr>
        <w:t>九、</w:t>
      </w:r>
      <w:r>
        <w:rPr>
          <w:rFonts w:asciiTheme="minorEastAsia" w:eastAsiaTheme="minorEastAsia" w:hAnsiTheme="minorEastAsia"/>
          <w:b/>
          <w:sz w:val="24"/>
          <w:szCs w:val="24"/>
        </w:rPr>
        <w:t>其他应予说明的事项</w:t>
      </w:r>
      <w:bookmarkEnd w:id="20"/>
    </w:p>
    <w:p w:rsidR="005A16B5" w:rsidRDefault="00084AF2" w:rsidP="00F851EB">
      <w:pPr>
        <w:spacing w:beforeLines="50"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无。</w:t>
      </w:r>
    </w:p>
    <w:p w:rsidR="005A16B5" w:rsidRDefault="005A16B5" w:rsidP="001E1892">
      <w:pPr>
        <w:spacing w:beforeLines="50" w:line="360" w:lineRule="auto"/>
        <w:rPr>
          <w:rFonts w:asciiTheme="minorEastAsia" w:eastAsiaTheme="minorEastAsia" w:hAnsiTheme="minorEastAsia"/>
          <w:szCs w:val="21"/>
        </w:rPr>
      </w:pPr>
    </w:p>
    <w:sectPr w:rsidR="005A16B5" w:rsidSect="005A16B5">
      <w:footerReference w:type="default" r:id="rId15"/>
      <w:pgSz w:w="11906" w:h="16838"/>
      <w:pgMar w:top="1588" w:right="1814" w:bottom="1588" w:left="181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CEE" w:rsidRDefault="00A43CEE" w:rsidP="005A16B5">
      <w:r>
        <w:separator/>
      </w:r>
    </w:p>
  </w:endnote>
  <w:endnote w:type="continuationSeparator" w:id="1">
    <w:p w:rsidR="00A43CEE" w:rsidRDefault="00A43CEE" w:rsidP="005A1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60" w:rsidRDefault="00580D6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979204"/>
    </w:sdtPr>
    <w:sdtContent>
      <w:p w:rsidR="005A16B5" w:rsidRDefault="001E1892">
        <w:pPr>
          <w:pStyle w:val="a6"/>
          <w:jc w:val="center"/>
        </w:pPr>
        <w:r>
          <w:fldChar w:fldCharType="begin"/>
        </w:r>
        <w:r w:rsidR="00084AF2">
          <w:instrText>PAGE   \* MERGEFORMAT</w:instrText>
        </w:r>
        <w:r>
          <w:fldChar w:fldCharType="separate"/>
        </w:r>
        <w:r w:rsidR="00084AF2">
          <w:rPr>
            <w:lang w:val="zh-CN"/>
          </w:rPr>
          <w:t>2</w:t>
        </w:r>
        <w:r>
          <w:fldChar w:fldCharType="end"/>
        </w:r>
      </w:p>
    </w:sdtContent>
  </w:sdt>
  <w:p w:rsidR="005A16B5" w:rsidRDefault="005A16B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60" w:rsidRDefault="00580D6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402111"/>
    </w:sdtPr>
    <w:sdtContent>
      <w:p w:rsidR="005A16B5" w:rsidRDefault="001E1892">
        <w:pPr>
          <w:pStyle w:val="a6"/>
          <w:jc w:val="center"/>
        </w:pPr>
        <w:r>
          <w:fldChar w:fldCharType="begin"/>
        </w:r>
        <w:r w:rsidR="00084AF2">
          <w:instrText>PAGE   \* MERGEFORMAT</w:instrText>
        </w:r>
        <w:r>
          <w:fldChar w:fldCharType="separate"/>
        </w:r>
        <w:r w:rsidR="00084AF2">
          <w:rPr>
            <w:lang w:val="zh-CN"/>
          </w:rPr>
          <w:t>3</w:t>
        </w:r>
        <w:r>
          <w:fldChar w:fldCharType="end"/>
        </w:r>
      </w:p>
    </w:sdtContent>
  </w:sdt>
  <w:p w:rsidR="005A16B5" w:rsidRDefault="005A16B5">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B5" w:rsidRDefault="001E1892">
    <w:pPr>
      <w:pStyle w:val="a6"/>
      <w:jc w:val="center"/>
      <w:rPr>
        <w:sz w:val="24"/>
        <w:szCs w:val="24"/>
      </w:rPr>
    </w:pPr>
    <w:r>
      <w:rPr>
        <w:sz w:val="24"/>
        <w:szCs w:val="24"/>
      </w:rPr>
      <w:fldChar w:fldCharType="begin"/>
    </w:r>
    <w:r w:rsidR="00084AF2">
      <w:rPr>
        <w:sz w:val="24"/>
        <w:szCs w:val="24"/>
      </w:rPr>
      <w:instrText>PAGE   \* MERGEFORMAT</w:instrText>
    </w:r>
    <w:r>
      <w:rPr>
        <w:sz w:val="24"/>
        <w:szCs w:val="24"/>
      </w:rPr>
      <w:fldChar w:fldCharType="separate"/>
    </w:r>
    <w:r w:rsidR="00F851EB" w:rsidRPr="00F851EB">
      <w:rPr>
        <w:noProof/>
        <w:sz w:val="24"/>
        <w:szCs w:val="24"/>
        <w:lang w:val="zh-CN"/>
      </w:rPr>
      <w:t>1</w:t>
    </w:r>
    <w:r>
      <w:rPr>
        <w:sz w:val="24"/>
        <w:szCs w:val="24"/>
      </w:rPr>
      <w:fldChar w:fldCharType="end"/>
    </w:r>
  </w:p>
  <w:p w:rsidR="005A16B5" w:rsidRDefault="005A16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CEE" w:rsidRDefault="00A43CEE" w:rsidP="005A16B5">
      <w:r>
        <w:separator/>
      </w:r>
    </w:p>
  </w:footnote>
  <w:footnote w:type="continuationSeparator" w:id="1">
    <w:p w:rsidR="00A43CEE" w:rsidRDefault="00A43CEE" w:rsidP="005A1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60" w:rsidRDefault="00580D6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60" w:rsidRDefault="00580D6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60" w:rsidRDefault="00580D60">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D80"/>
    <w:rsid w:val="00000830"/>
    <w:rsid w:val="00022B03"/>
    <w:rsid w:val="0004418D"/>
    <w:rsid w:val="00061378"/>
    <w:rsid w:val="000678A9"/>
    <w:rsid w:val="0007143A"/>
    <w:rsid w:val="00084AF2"/>
    <w:rsid w:val="000876B6"/>
    <w:rsid w:val="0009524C"/>
    <w:rsid w:val="000A6AD8"/>
    <w:rsid w:val="000C0196"/>
    <w:rsid w:val="000C5F7E"/>
    <w:rsid w:val="000D127C"/>
    <w:rsid w:val="000D7083"/>
    <w:rsid w:val="000E544E"/>
    <w:rsid w:val="000F2EC1"/>
    <w:rsid w:val="00107C4C"/>
    <w:rsid w:val="0013290C"/>
    <w:rsid w:val="0014096F"/>
    <w:rsid w:val="001416C7"/>
    <w:rsid w:val="001426ED"/>
    <w:rsid w:val="001500DC"/>
    <w:rsid w:val="00154EB1"/>
    <w:rsid w:val="00155C83"/>
    <w:rsid w:val="00165479"/>
    <w:rsid w:val="001936E6"/>
    <w:rsid w:val="001B3A51"/>
    <w:rsid w:val="001E1892"/>
    <w:rsid w:val="00210169"/>
    <w:rsid w:val="00241115"/>
    <w:rsid w:val="002433C5"/>
    <w:rsid w:val="0025499B"/>
    <w:rsid w:val="002615E0"/>
    <w:rsid w:val="00267307"/>
    <w:rsid w:val="002972BA"/>
    <w:rsid w:val="002D37E7"/>
    <w:rsid w:val="0030244D"/>
    <w:rsid w:val="0031315A"/>
    <w:rsid w:val="0031554A"/>
    <w:rsid w:val="00317F8A"/>
    <w:rsid w:val="003235DA"/>
    <w:rsid w:val="003457C2"/>
    <w:rsid w:val="003544B8"/>
    <w:rsid w:val="00372FC5"/>
    <w:rsid w:val="00390CE3"/>
    <w:rsid w:val="0039181B"/>
    <w:rsid w:val="003D0C8C"/>
    <w:rsid w:val="003E0742"/>
    <w:rsid w:val="003E468D"/>
    <w:rsid w:val="003E67D3"/>
    <w:rsid w:val="003F356A"/>
    <w:rsid w:val="003F366A"/>
    <w:rsid w:val="00402EAC"/>
    <w:rsid w:val="0040381C"/>
    <w:rsid w:val="00423E79"/>
    <w:rsid w:val="004252B3"/>
    <w:rsid w:val="004269C3"/>
    <w:rsid w:val="004467BF"/>
    <w:rsid w:val="00447861"/>
    <w:rsid w:val="00466F5F"/>
    <w:rsid w:val="00483FA6"/>
    <w:rsid w:val="00491409"/>
    <w:rsid w:val="0049564C"/>
    <w:rsid w:val="00497192"/>
    <w:rsid w:val="004A2F1B"/>
    <w:rsid w:val="004B1AD9"/>
    <w:rsid w:val="004B6E12"/>
    <w:rsid w:val="004D1019"/>
    <w:rsid w:val="004D4A52"/>
    <w:rsid w:val="00503171"/>
    <w:rsid w:val="005034BC"/>
    <w:rsid w:val="005103DF"/>
    <w:rsid w:val="00512369"/>
    <w:rsid w:val="0052635F"/>
    <w:rsid w:val="00531DE3"/>
    <w:rsid w:val="00533951"/>
    <w:rsid w:val="00540097"/>
    <w:rsid w:val="00580D60"/>
    <w:rsid w:val="005A16B5"/>
    <w:rsid w:val="005C2CB0"/>
    <w:rsid w:val="006064A3"/>
    <w:rsid w:val="00610FB3"/>
    <w:rsid w:val="00614860"/>
    <w:rsid w:val="00640FEE"/>
    <w:rsid w:val="00656377"/>
    <w:rsid w:val="006613FB"/>
    <w:rsid w:val="00661E65"/>
    <w:rsid w:val="006634E1"/>
    <w:rsid w:val="006672E7"/>
    <w:rsid w:val="00672A9F"/>
    <w:rsid w:val="00675F68"/>
    <w:rsid w:val="006A4AEF"/>
    <w:rsid w:val="006B4DF1"/>
    <w:rsid w:val="006B65AB"/>
    <w:rsid w:val="006E6C0B"/>
    <w:rsid w:val="006E74E5"/>
    <w:rsid w:val="006E7867"/>
    <w:rsid w:val="006E78BB"/>
    <w:rsid w:val="006F0BEB"/>
    <w:rsid w:val="006F763E"/>
    <w:rsid w:val="00700197"/>
    <w:rsid w:val="00717A32"/>
    <w:rsid w:val="007244EE"/>
    <w:rsid w:val="0074549E"/>
    <w:rsid w:val="00750843"/>
    <w:rsid w:val="00766C81"/>
    <w:rsid w:val="00773EE8"/>
    <w:rsid w:val="007749DE"/>
    <w:rsid w:val="00774D80"/>
    <w:rsid w:val="00783DD1"/>
    <w:rsid w:val="00785292"/>
    <w:rsid w:val="00785FF9"/>
    <w:rsid w:val="00790869"/>
    <w:rsid w:val="007A5A78"/>
    <w:rsid w:val="007A5C7C"/>
    <w:rsid w:val="007B231C"/>
    <w:rsid w:val="007B7486"/>
    <w:rsid w:val="007F1430"/>
    <w:rsid w:val="007F69B6"/>
    <w:rsid w:val="008209F6"/>
    <w:rsid w:val="00831EC0"/>
    <w:rsid w:val="008367A5"/>
    <w:rsid w:val="00846E4E"/>
    <w:rsid w:val="00854D5D"/>
    <w:rsid w:val="008814BD"/>
    <w:rsid w:val="00892FC0"/>
    <w:rsid w:val="0089375D"/>
    <w:rsid w:val="008A14D7"/>
    <w:rsid w:val="008B0E29"/>
    <w:rsid w:val="008B5E30"/>
    <w:rsid w:val="008C0A15"/>
    <w:rsid w:val="008D37F3"/>
    <w:rsid w:val="008E4618"/>
    <w:rsid w:val="008E6F9E"/>
    <w:rsid w:val="008F12BD"/>
    <w:rsid w:val="0090678B"/>
    <w:rsid w:val="00917AD0"/>
    <w:rsid w:val="00930807"/>
    <w:rsid w:val="009343B7"/>
    <w:rsid w:val="00941C5C"/>
    <w:rsid w:val="00942C3C"/>
    <w:rsid w:val="00942E15"/>
    <w:rsid w:val="00951F8B"/>
    <w:rsid w:val="009710E6"/>
    <w:rsid w:val="009725D0"/>
    <w:rsid w:val="00972F6A"/>
    <w:rsid w:val="009751C9"/>
    <w:rsid w:val="00980E45"/>
    <w:rsid w:val="009A3C51"/>
    <w:rsid w:val="009A79E2"/>
    <w:rsid w:val="009B3825"/>
    <w:rsid w:val="009D73A6"/>
    <w:rsid w:val="00A01C01"/>
    <w:rsid w:val="00A15CFB"/>
    <w:rsid w:val="00A21F07"/>
    <w:rsid w:val="00A350C7"/>
    <w:rsid w:val="00A428EE"/>
    <w:rsid w:val="00A43CEE"/>
    <w:rsid w:val="00A544ED"/>
    <w:rsid w:val="00A6267A"/>
    <w:rsid w:val="00A75124"/>
    <w:rsid w:val="00A834AA"/>
    <w:rsid w:val="00AE0908"/>
    <w:rsid w:val="00AE3903"/>
    <w:rsid w:val="00AE4BEA"/>
    <w:rsid w:val="00AF2C16"/>
    <w:rsid w:val="00B2115A"/>
    <w:rsid w:val="00B328C9"/>
    <w:rsid w:val="00B64CAE"/>
    <w:rsid w:val="00B67AFA"/>
    <w:rsid w:val="00B70E7E"/>
    <w:rsid w:val="00B8515A"/>
    <w:rsid w:val="00B92ABC"/>
    <w:rsid w:val="00BC4D1B"/>
    <w:rsid w:val="00BF1D15"/>
    <w:rsid w:val="00BF563E"/>
    <w:rsid w:val="00C04636"/>
    <w:rsid w:val="00C06C7D"/>
    <w:rsid w:val="00C076AF"/>
    <w:rsid w:val="00C343BE"/>
    <w:rsid w:val="00C35DDE"/>
    <w:rsid w:val="00C36E63"/>
    <w:rsid w:val="00C4552B"/>
    <w:rsid w:val="00C4672E"/>
    <w:rsid w:val="00C51076"/>
    <w:rsid w:val="00C54E66"/>
    <w:rsid w:val="00C55974"/>
    <w:rsid w:val="00C64365"/>
    <w:rsid w:val="00C743BF"/>
    <w:rsid w:val="00C80ECD"/>
    <w:rsid w:val="00CC50FC"/>
    <w:rsid w:val="00CD3CD3"/>
    <w:rsid w:val="00CE2184"/>
    <w:rsid w:val="00CF2CEF"/>
    <w:rsid w:val="00CF4BEA"/>
    <w:rsid w:val="00D15992"/>
    <w:rsid w:val="00D22500"/>
    <w:rsid w:val="00D34EB5"/>
    <w:rsid w:val="00D45BF9"/>
    <w:rsid w:val="00D51504"/>
    <w:rsid w:val="00D55EFF"/>
    <w:rsid w:val="00D71230"/>
    <w:rsid w:val="00D71780"/>
    <w:rsid w:val="00D80291"/>
    <w:rsid w:val="00D8035A"/>
    <w:rsid w:val="00D813A2"/>
    <w:rsid w:val="00D858DD"/>
    <w:rsid w:val="00DA6562"/>
    <w:rsid w:val="00DC6A8D"/>
    <w:rsid w:val="00DD2063"/>
    <w:rsid w:val="00DD7B38"/>
    <w:rsid w:val="00DE370B"/>
    <w:rsid w:val="00DE597C"/>
    <w:rsid w:val="00DF19F3"/>
    <w:rsid w:val="00DF625C"/>
    <w:rsid w:val="00E0009D"/>
    <w:rsid w:val="00E1061A"/>
    <w:rsid w:val="00E13578"/>
    <w:rsid w:val="00E13EDB"/>
    <w:rsid w:val="00E1693F"/>
    <w:rsid w:val="00E306DD"/>
    <w:rsid w:val="00E33B00"/>
    <w:rsid w:val="00E901AF"/>
    <w:rsid w:val="00E92873"/>
    <w:rsid w:val="00E96F8E"/>
    <w:rsid w:val="00EA3493"/>
    <w:rsid w:val="00EB0005"/>
    <w:rsid w:val="00EC1E69"/>
    <w:rsid w:val="00ED65EB"/>
    <w:rsid w:val="00ED6D60"/>
    <w:rsid w:val="00ED7616"/>
    <w:rsid w:val="00EE30F7"/>
    <w:rsid w:val="00EF132B"/>
    <w:rsid w:val="00EF477C"/>
    <w:rsid w:val="00EF5034"/>
    <w:rsid w:val="00F02FAE"/>
    <w:rsid w:val="00F14CB7"/>
    <w:rsid w:val="00F34D0A"/>
    <w:rsid w:val="00F50060"/>
    <w:rsid w:val="00F512E5"/>
    <w:rsid w:val="00F52BAA"/>
    <w:rsid w:val="00F55585"/>
    <w:rsid w:val="00F74158"/>
    <w:rsid w:val="00F851EB"/>
    <w:rsid w:val="00FA45B6"/>
    <w:rsid w:val="00FB0F13"/>
    <w:rsid w:val="00FB5494"/>
    <w:rsid w:val="00FC1720"/>
    <w:rsid w:val="00FC4C65"/>
    <w:rsid w:val="09D8441D"/>
    <w:rsid w:val="206E1540"/>
    <w:rsid w:val="23F37B48"/>
    <w:rsid w:val="3A597800"/>
    <w:rsid w:val="431F0F27"/>
    <w:rsid w:val="5ACA6563"/>
    <w:rsid w:val="783550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6B5"/>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5A16B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rsid w:val="005A16B5"/>
    <w:pPr>
      <w:adjustRightInd w:val="0"/>
      <w:spacing w:line="360" w:lineRule="atLeast"/>
      <w:jc w:val="left"/>
      <w:textAlignment w:val="baseline"/>
    </w:pPr>
    <w:rPr>
      <w:kern w:val="0"/>
      <w:sz w:val="28"/>
    </w:rPr>
  </w:style>
  <w:style w:type="paragraph" w:styleId="a4">
    <w:name w:val="Body Text Indent"/>
    <w:basedOn w:val="a"/>
    <w:link w:val="Char"/>
    <w:qFormat/>
    <w:rsid w:val="005A16B5"/>
    <w:pPr>
      <w:adjustRightInd w:val="0"/>
      <w:spacing w:line="360" w:lineRule="auto"/>
      <w:ind w:firstLine="420"/>
      <w:jc w:val="left"/>
      <w:textAlignment w:val="baseline"/>
    </w:pPr>
    <w:rPr>
      <w:kern w:val="0"/>
    </w:rPr>
  </w:style>
  <w:style w:type="paragraph" w:styleId="a5">
    <w:name w:val="Balloon Text"/>
    <w:basedOn w:val="a"/>
    <w:link w:val="Char0"/>
    <w:uiPriority w:val="99"/>
    <w:semiHidden/>
    <w:unhideWhenUsed/>
    <w:qFormat/>
    <w:rsid w:val="005A16B5"/>
    <w:rPr>
      <w:sz w:val="18"/>
      <w:szCs w:val="18"/>
    </w:rPr>
  </w:style>
  <w:style w:type="paragraph" w:styleId="a6">
    <w:name w:val="footer"/>
    <w:basedOn w:val="a"/>
    <w:link w:val="Char2"/>
    <w:uiPriority w:val="99"/>
    <w:unhideWhenUsed/>
    <w:qFormat/>
    <w:rsid w:val="005A16B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A16B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A16B5"/>
    <w:pPr>
      <w:tabs>
        <w:tab w:val="left" w:pos="315"/>
        <w:tab w:val="right" w:leader="dot" w:pos="8720"/>
      </w:tabs>
      <w:adjustRightInd w:val="0"/>
      <w:snapToGrid w:val="0"/>
      <w:spacing w:beforeLines="50" w:line="360" w:lineRule="auto"/>
      <w:jc w:val="center"/>
    </w:pPr>
    <w:rPr>
      <w:rFonts w:ascii="宋体" w:hAnsi="宋体"/>
      <w:b/>
      <w:bCs/>
      <w:caps/>
      <w:spacing w:val="28"/>
      <w:sz w:val="48"/>
      <w:szCs w:val="48"/>
    </w:rPr>
  </w:style>
  <w:style w:type="paragraph" w:styleId="2">
    <w:name w:val="toc 2"/>
    <w:basedOn w:val="a"/>
    <w:next w:val="a"/>
    <w:uiPriority w:val="39"/>
    <w:qFormat/>
    <w:rsid w:val="005A16B5"/>
    <w:pPr>
      <w:tabs>
        <w:tab w:val="left" w:pos="420"/>
        <w:tab w:val="right" w:leader="dot" w:pos="8720"/>
      </w:tabs>
      <w:adjustRightInd w:val="0"/>
      <w:snapToGrid w:val="0"/>
      <w:spacing w:line="360" w:lineRule="auto"/>
      <w:jc w:val="left"/>
    </w:pPr>
    <w:rPr>
      <w:smallCaps/>
      <w:szCs w:val="24"/>
    </w:rPr>
  </w:style>
  <w:style w:type="character" w:styleId="a8">
    <w:name w:val="Hyperlink"/>
    <w:uiPriority w:val="99"/>
    <w:qFormat/>
    <w:rsid w:val="005A16B5"/>
    <w:rPr>
      <w:color w:val="0000FF"/>
      <w:u w:val="single"/>
    </w:rPr>
  </w:style>
  <w:style w:type="character" w:styleId="a9">
    <w:name w:val="annotation reference"/>
    <w:qFormat/>
    <w:rsid w:val="005A16B5"/>
    <w:rPr>
      <w:sz w:val="21"/>
      <w:szCs w:val="21"/>
    </w:rPr>
  </w:style>
  <w:style w:type="paragraph" w:styleId="aa">
    <w:name w:val="List Paragraph"/>
    <w:basedOn w:val="a"/>
    <w:uiPriority w:val="34"/>
    <w:qFormat/>
    <w:rsid w:val="005A16B5"/>
    <w:pPr>
      <w:ind w:firstLineChars="200" w:firstLine="420"/>
    </w:pPr>
  </w:style>
  <w:style w:type="character" w:customStyle="1" w:styleId="Char3">
    <w:name w:val="页眉 Char"/>
    <w:basedOn w:val="a0"/>
    <w:link w:val="a7"/>
    <w:uiPriority w:val="99"/>
    <w:qFormat/>
    <w:rsid w:val="005A16B5"/>
    <w:rPr>
      <w:rFonts w:ascii="Times New Roman" w:eastAsia="宋体" w:hAnsi="Times New Roman" w:cs="Times New Roman"/>
      <w:sz w:val="18"/>
      <w:szCs w:val="18"/>
    </w:rPr>
  </w:style>
  <w:style w:type="character" w:customStyle="1" w:styleId="Char2">
    <w:name w:val="页脚 Char"/>
    <w:basedOn w:val="a0"/>
    <w:link w:val="a6"/>
    <w:uiPriority w:val="99"/>
    <w:qFormat/>
    <w:rsid w:val="005A16B5"/>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5A16B5"/>
    <w:rPr>
      <w:rFonts w:ascii="Times New Roman" w:eastAsia="宋体" w:hAnsi="Times New Roman" w:cs="Times New Roman"/>
      <w:sz w:val="18"/>
      <w:szCs w:val="18"/>
    </w:rPr>
  </w:style>
  <w:style w:type="character" w:customStyle="1" w:styleId="Char4">
    <w:name w:val="批注文字 Char"/>
    <w:basedOn w:val="a0"/>
    <w:uiPriority w:val="99"/>
    <w:semiHidden/>
    <w:qFormat/>
    <w:rsid w:val="005A16B5"/>
    <w:rPr>
      <w:rFonts w:ascii="Times New Roman" w:eastAsia="宋体" w:hAnsi="Times New Roman" w:cs="Times New Roman"/>
      <w:szCs w:val="20"/>
    </w:rPr>
  </w:style>
  <w:style w:type="character" w:customStyle="1" w:styleId="Char1">
    <w:name w:val="批注文字 Char1"/>
    <w:link w:val="a3"/>
    <w:qFormat/>
    <w:rsid w:val="005A16B5"/>
    <w:rPr>
      <w:rFonts w:ascii="Times New Roman" w:eastAsia="宋体" w:hAnsi="Times New Roman" w:cs="Times New Roman"/>
      <w:kern w:val="0"/>
      <w:sz w:val="28"/>
      <w:szCs w:val="20"/>
    </w:rPr>
  </w:style>
  <w:style w:type="character" w:customStyle="1" w:styleId="Char">
    <w:name w:val="正文文本缩进 Char"/>
    <w:basedOn w:val="a0"/>
    <w:link w:val="a4"/>
    <w:qFormat/>
    <w:rsid w:val="005A16B5"/>
    <w:rPr>
      <w:rFonts w:ascii="Times New Roman" w:eastAsia="宋体" w:hAnsi="Times New Roman" w:cs="Times New Roman"/>
      <w:kern w:val="0"/>
      <w:szCs w:val="20"/>
    </w:rPr>
  </w:style>
  <w:style w:type="character" w:customStyle="1" w:styleId="1Char">
    <w:name w:val="标题 1 Char"/>
    <w:basedOn w:val="a0"/>
    <w:link w:val="1"/>
    <w:uiPriority w:val="9"/>
    <w:qFormat/>
    <w:rsid w:val="005A16B5"/>
    <w:rPr>
      <w:rFonts w:ascii="Times New Roman" w:eastAsia="宋体" w:hAnsi="Times New Roman" w:cs="Times New Roman"/>
      <w:b/>
      <w:bCs/>
      <w:kern w:val="44"/>
      <w:sz w:val="44"/>
      <w:szCs w:val="44"/>
    </w:rPr>
  </w:style>
  <w:style w:type="paragraph" w:customStyle="1" w:styleId="TOC1">
    <w:name w:val="TOC 标题1"/>
    <w:basedOn w:val="1"/>
    <w:next w:val="a"/>
    <w:uiPriority w:val="39"/>
    <w:semiHidden/>
    <w:unhideWhenUsed/>
    <w:qFormat/>
    <w:rsid w:val="005A16B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封面标准名称"/>
    <w:qFormat/>
    <w:rsid w:val="005A16B5"/>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c">
    <w:name w:val="封面标准英文名称"/>
    <w:basedOn w:val="ab"/>
    <w:qFormat/>
    <w:rsid w:val="005A16B5"/>
    <w:pPr>
      <w:framePr w:wrap="around"/>
      <w:spacing w:before="370" w:line="400" w:lineRule="exact"/>
    </w:pPr>
    <w:rPr>
      <w:rFonts w:ascii="Times New Roman" w:eastAsia="宋体"/>
      <w:sz w:val="28"/>
      <w:szCs w:val="28"/>
    </w:rPr>
  </w:style>
  <w:style w:type="character" w:customStyle="1" w:styleId="Char5">
    <w:name w:val="段 Char"/>
    <w:link w:val="ad"/>
    <w:qFormat/>
    <w:rsid w:val="005A16B5"/>
    <w:rPr>
      <w:rFonts w:ascii="宋体"/>
    </w:rPr>
  </w:style>
  <w:style w:type="paragraph" w:customStyle="1" w:styleId="ad">
    <w:name w:val="段"/>
    <w:link w:val="Char5"/>
    <w:qFormat/>
    <w:rsid w:val="005A16B5"/>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e">
    <w:name w:val="表格"/>
    <w:basedOn w:val="a"/>
    <w:qFormat/>
    <w:rsid w:val="005A16B5"/>
    <w:pPr>
      <w:adjustRightInd w:val="0"/>
      <w:snapToGrid w:val="0"/>
      <w:spacing w:after="60" w:line="400" w:lineRule="atLeast"/>
      <w:jc w:val="center"/>
      <w:textAlignment w:val="center"/>
    </w:pPr>
    <w:rPr>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C855B-C7E7-354B-9CC4-487B53F0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859</Words>
  <Characters>4898</Characters>
  <Application>Microsoft Office Word</Application>
  <DocSecurity>0</DocSecurity>
  <Lines>40</Lines>
  <Paragraphs>11</Paragraphs>
  <ScaleCrop>false</ScaleCrop>
  <Company>Microsoft</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66</cp:revision>
  <dcterms:created xsi:type="dcterms:W3CDTF">2020-03-24T15:39:00Z</dcterms:created>
  <dcterms:modified xsi:type="dcterms:W3CDTF">2020-11-04T02:54:00Z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