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60" w:rsidRDefault="00262F60"/>
    <w:p w:rsidR="00262F60" w:rsidRDefault="00262F60">
      <w:pPr>
        <w:widowControl/>
        <w:rPr>
          <w:sz w:val="28"/>
          <w:szCs w:val="28"/>
        </w:rPr>
      </w:pPr>
    </w:p>
    <w:p w:rsidR="00262F60" w:rsidRDefault="00262F60">
      <w:pPr>
        <w:widowControl/>
        <w:rPr>
          <w:sz w:val="28"/>
          <w:szCs w:val="28"/>
        </w:rPr>
      </w:pPr>
    </w:p>
    <w:p w:rsidR="00262F60" w:rsidRDefault="00D9013D">
      <w:pPr>
        <w:widowControl/>
        <w:jc w:val="center"/>
        <w:rPr>
          <w:rFonts w:ascii="黑体" w:eastAsia="黑体" w:hAnsi="黑体"/>
          <w:b/>
          <w:sz w:val="44"/>
          <w:szCs w:val="44"/>
        </w:rPr>
      </w:pPr>
      <w:r>
        <w:rPr>
          <w:rFonts w:ascii="黑体" w:eastAsia="黑体" w:hAnsi="黑体" w:hint="eastAsia"/>
          <w:b/>
          <w:sz w:val="44"/>
          <w:szCs w:val="44"/>
        </w:rPr>
        <w:t xml:space="preserve">团 体 </w:t>
      </w:r>
      <w:r>
        <w:rPr>
          <w:rFonts w:ascii="黑体" w:eastAsia="黑体" w:hAnsi="黑体"/>
          <w:b/>
          <w:sz w:val="44"/>
          <w:szCs w:val="44"/>
        </w:rPr>
        <w:t>标准</w:t>
      </w:r>
    </w:p>
    <w:p w:rsidR="00262F60" w:rsidRDefault="00262F60">
      <w:pPr>
        <w:widowControl/>
        <w:jc w:val="center"/>
        <w:rPr>
          <w:rFonts w:ascii="黑体" w:eastAsia="黑体" w:hAnsi="黑体"/>
          <w:b/>
          <w:sz w:val="44"/>
          <w:szCs w:val="44"/>
        </w:rPr>
      </w:pPr>
    </w:p>
    <w:p w:rsidR="00262F60" w:rsidRDefault="00D9013D">
      <w:pPr>
        <w:spacing w:line="360" w:lineRule="auto"/>
        <w:jc w:val="center"/>
        <w:rPr>
          <w:rFonts w:ascii="黑体" w:eastAsia="黑体" w:hAnsi="黑体"/>
          <w:b/>
          <w:sz w:val="44"/>
          <w:szCs w:val="44"/>
        </w:rPr>
      </w:pPr>
      <w:r>
        <w:rPr>
          <w:rFonts w:ascii="黑体" w:eastAsia="黑体" w:hAnsi="黑体" w:hint="eastAsia"/>
          <w:b/>
          <w:sz w:val="44"/>
          <w:szCs w:val="44"/>
        </w:rPr>
        <w:t>集装箱设备电子交接单</w:t>
      </w:r>
    </w:p>
    <w:p w:rsidR="00262F60" w:rsidRDefault="00D9013D">
      <w:pPr>
        <w:spacing w:line="360" w:lineRule="auto"/>
        <w:jc w:val="center"/>
        <w:rPr>
          <w:rFonts w:ascii="黑体" w:eastAsia="黑体" w:hAnsi="黑体"/>
          <w:b/>
          <w:color w:val="000000"/>
          <w:sz w:val="44"/>
          <w:szCs w:val="44"/>
        </w:rPr>
      </w:pPr>
      <w:r>
        <w:rPr>
          <w:rFonts w:ascii="黑体" w:eastAsia="黑体" w:hAnsi="黑体"/>
          <w:b/>
          <w:color w:val="000000"/>
          <w:sz w:val="44"/>
          <w:szCs w:val="44"/>
        </w:rPr>
        <w:t>Electronic equipment interchange receipt for freight container</w:t>
      </w:r>
    </w:p>
    <w:p w:rsidR="00262F60" w:rsidRDefault="00D9013D">
      <w:pPr>
        <w:spacing w:line="360" w:lineRule="auto"/>
        <w:jc w:val="center"/>
        <w:rPr>
          <w:rFonts w:ascii="黑体" w:eastAsia="黑体" w:hAnsi="黑体"/>
          <w:b/>
          <w:sz w:val="44"/>
          <w:szCs w:val="44"/>
        </w:rPr>
      </w:pPr>
      <w:r>
        <w:rPr>
          <w:rFonts w:ascii="黑体" w:eastAsia="黑体" w:hAnsi="黑体" w:hint="eastAsia"/>
          <w:b/>
          <w:sz w:val="44"/>
          <w:szCs w:val="44"/>
        </w:rPr>
        <w:t>（征求意见稿）</w:t>
      </w:r>
    </w:p>
    <w:p w:rsidR="00262F60" w:rsidRDefault="00262F60">
      <w:pPr>
        <w:widowControl/>
        <w:rPr>
          <w:rFonts w:ascii="黑体" w:eastAsia="黑体" w:hAnsi="黑体"/>
          <w:b/>
          <w:sz w:val="44"/>
          <w:szCs w:val="44"/>
        </w:rPr>
      </w:pPr>
    </w:p>
    <w:p w:rsidR="00262F60" w:rsidRDefault="00262F60">
      <w:pPr>
        <w:widowControl/>
        <w:rPr>
          <w:rFonts w:ascii="黑体" w:eastAsia="黑体" w:hAnsi="黑体"/>
          <w:b/>
          <w:sz w:val="44"/>
          <w:szCs w:val="44"/>
        </w:rPr>
      </w:pPr>
    </w:p>
    <w:p w:rsidR="00262F60" w:rsidRDefault="00262F60">
      <w:pPr>
        <w:widowControl/>
        <w:rPr>
          <w:rFonts w:ascii="黑体" w:eastAsia="黑体" w:hAnsi="黑体"/>
          <w:b/>
          <w:sz w:val="44"/>
          <w:szCs w:val="44"/>
        </w:rPr>
      </w:pPr>
    </w:p>
    <w:p w:rsidR="00262F60" w:rsidRDefault="00D9013D">
      <w:pPr>
        <w:widowControl/>
        <w:jc w:val="center"/>
        <w:rPr>
          <w:rFonts w:ascii="黑体" w:eastAsia="黑体" w:hAnsi="黑体"/>
          <w:b/>
          <w:sz w:val="44"/>
          <w:szCs w:val="44"/>
        </w:rPr>
      </w:pPr>
      <w:r>
        <w:rPr>
          <w:rFonts w:ascii="黑体" w:eastAsia="黑体" w:hAnsi="黑体"/>
          <w:b/>
          <w:sz w:val="44"/>
          <w:szCs w:val="44"/>
        </w:rPr>
        <w:t>编制说明</w:t>
      </w: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262F60">
      <w:pPr>
        <w:widowControl/>
        <w:rPr>
          <w:szCs w:val="21"/>
        </w:rPr>
      </w:pPr>
    </w:p>
    <w:p w:rsidR="00262F60" w:rsidRDefault="00D9013D">
      <w:pPr>
        <w:widowControl/>
        <w:jc w:val="center"/>
        <w:rPr>
          <w:rFonts w:ascii="黑体" w:eastAsia="黑体" w:hAnsi="黑体"/>
          <w:b/>
          <w:sz w:val="32"/>
          <w:szCs w:val="32"/>
        </w:rPr>
      </w:pPr>
      <w:r>
        <w:rPr>
          <w:rFonts w:ascii="黑体" w:eastAsia="黑体" w:hAnsi="黑体"/>
          <w:b/>
          <w:sz w:val="32"/>
          <w:szCs w:val="32"/>
        </w:rPr>
        <w:t>标准起草组</w:t>
      </w:r>
    </w:p>
    <w:p w:rsidR="00262F60" w:rsidRDefault="00D9013D">
      <w:pPr>
        <w:widowControl/>
        <w:jc w:val="center"/>
        <w:rPr>
          <w:rFonts w:ascii="黑体" w:eastAsia="黑体" w:hAnsi="黑体" w:cs="Arial"/>
          <w:b/>
          <w:sz w:val="32"/>
          <w:szCs w:val="32"/>
        </w:rPr>
      </w:pPr>
      <w:r>
        <w:rPr>
          <w:rFonts w:ascii="黑体" w:eastAsia="黑体" w:hAnsi="黑体" w:cs="Arial"/>
          <w:b/>
          <w:sz w:val="32"/>
          <w:szCs w:val="32"/>
        </w:rPr>
        <w:t>2020年3月19日</w:t>
      </w:r>
    </w:p>
    <w:p w:rsidR="00262F60" w:rsidRDefault="00262F60"/>
    <w:p w:rsidR="00262F60" w:rsidRDefault="00262F60"/>
    <w:p w:rsidR="00262F60" w:rsidRDefault="00262F60">
      <w:pPr>
        <w:sectPr w:rsidR="00262F60">
          <w:headerReference w:type="even" r:id="rId9"/>
          <w:headerReference w:type="default" r:id="rId10"/>
          <w:footerReference w:type="even" r:id="rId11"/>
          <w:footerReference w:type="default" r:id="rId12"/>
          <w:headerReference w:type="first" r:id="rId13"/>
          <w:footerReference w:type="first" r:id="rId14"/>
          <w:pgSz w:w="11906" w:h="16838"/>
          <w:pgMar w:top="1588" w:right="1814" w:bottom="1588" w:left="1814" w:header="851" w:footer="992" w:gutter="0"/>
          <w:cols w:space="425"/>
          <w:titlePg/>
          <w:docGrid w:type="lines" w:linePitch="312"/>
        </w:sectPr>
      </w:pPr>
    </w:p>
    <w:sdt>
      <w:sdtPr>
        <w:rPr>
          <w:rFonts w:ascii="Times New Roman" w:eastAsia="宋体" w:hAnsi="Times New Roman" w:cs="Times New Roman"/>
          <w:b w:val="0"/>
          <w:bCs w:val="0"/>
          <w:color w:val="auto"/>
          <w:kern w:val="2"/>
          <w:sz w:val="21"/>
          <w:szCs w:val="20"/>
          <w:lang w:val="zh-CN"/>
        </w:rPr>
        <w:id w:val="262339798"/>
        <w:docPartObj>
          <w:docPartGallery w:val="Table of Contents"/>
          <w:docPartUnique/>
        </w:docPartObj>
      </w:sdtPr>
      <w:sdtEndPr>
        <w:rPr>
          <w:rFonts w:ascii="宋体" w:hAnsi="宋体"/>
          <w:sz w:val="24"/>
          <w:szCs w:val="24"/>
          <w:lang w:val="en-US"/>
        </w:rPr>
      </w:sdtEndPr>
      <w:sdtContent>
        <w:p w:rsidR="00262F60" w:rsidRDefault="00D9013D">
          <w:pPr>
            <w:pStyle w:val="TOC1"/>
            <w:jc w:val="center"/>
          </w:pPr>
          <w:r>
            <w:rPr>
              <w:lang w:val="zh-CN"/>
            </w:rPr>
            <w:t>目</w:t>
          </w:r>
          <w:r>
            <w:rPr>
              <w:lang w:val="zh-CN"/>
            </w:rPr>
            <w:t xml:space="preserve">  </w:t>
          </w:r>
          <w:r>
            <w:rPr>
              <w:lang w:val="zh-CN"/>
            </w:rPr>
            <w:t>录</w:t>
          </w:r>
        </w:p>
        <w:p w:rsidR="00262F60" w:rsidRDefault="00E43317">
          <w:pPr>
            <w:pStyle w:val="10"/>
            <w:tabs>
              <w:tab w:val="right" w:leader="dot" w:pos="8268"/>
            </w:tabs>
            <w:spacing w:line="360" w:lineRule="auto"/>
            <w:rPr>
              <w:rFonts w:ascii="宋体" w:hAnsi="宋体" w:cstheme="minorBidi"/>
              <w:b w:val="0"/>
              <w:bCs w:val="0"/>
              <w:caps w:val="0"/>
              <w:sz w:val="24"/>
              <w:szCs w:val="24"/>
            </w:rPr>
          </w:pPr>
          <w:r w:rsidRPr="00E43317">
            <w:rPr>
              <w:rFonts w:ascii="宋体" w:hAnsi="宋体"/>
              <w:b w:val="0"/>
              <w:bCs w:val="0"/>
              <w:sz w:val="24"/>
              <w:szCs w:val="24"/>
            </w:rPr>
            <w:fldChar w:fldCharType="begin"/>
          </w:r>
          <w:r w:rsidR="00D9013D">
            <w:rPr>
              <w:rFonts w:ascii="宋体" w:hAnsi="宋体"/>
              <w:b w:val="0"/>
              <w:bCs w:val="0"/>
              <w:sz w:val="24"/>
              <w:szCs w:val="24"/>
            </w:rPr>
            <w:instrText>TOC \o "1-3" \h \z \u</w:instrText>
          </w:r>
          <w:r w:rsidRPr="00E43317">
            <w:rPr>
              <w:rFonts w:ascii="宋体" w:hAnsi="宋体"/>
              <w:b w:val="0"/>
              <w:bCs w:val="0"/>
              <w:sz w:val="24"/>
              <w:szCs w:val="24"/>
            </w:rPr>
            <w:fldChar w:fldCharType="separate"/>
          </w:r>
          <w:hyperlink w:anchor="_Toc46098150" w:history="1">
            <w:r w:rsidR="00D9013D">
              <w:rPr>
                <w:rStyle w:val="ae"/>
                <w:rFonts w:ascii="宋体" w:hAnsi="宋体"/>
                <w:b w:val="0"/>
                <w:bCs w:val="0"/>
                <w:sz w:val="24"/>
                <w:szCs w:val="24"/>
              </w:rPr>
              <w:t>一、工</w:t>
            </w:r>
            <w:r w:rsidR="00D9013D">
              <w:rPr>
                <w:rStyle w:val="ae"/>
                <w:rFonts w:ascii="宋体" w:hAnsi="宋体" w:cs="Arial"/>
                <w:b w:val="0"/>
                <w:bCs w:val="0"/>
                <w:sz w:val="24"/>
                <w:szCs w:val="24"/>
              </w:rPr>
              <w:t>作简况</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_Toc46098150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1</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1" w:history="1">
            <w:r w:rsidR="00D9013D">
              <w:rPr>
                <w:rStyle w:val="ae"/>
                <w:rFonts w:ascii="宋体" w:hAnsi="宋体"/>
                <w:b w:val="0"/>
                <w:bCs w:val="0"/>
                <w:sz w:val="24"/>
                <w:szCs w:val="24"/>
              </w:rPr>
              <w:t>二、标准编制原则和确定标准主要内容的论据</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_Toc46098151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3</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2" w:history="1">
            <w:r w:rsidR="00D9013D">
              <w:rPr>
                <w:rStyle w:val="ae"/>
                <w:rFonts w:ascii="宋体" w:hAnsi="宋体"/>
                <w:b w:val="0"/>
                <w:bCs w:val="0"/>
                <w:sz w:val="24"/>
                <w:szCs w:val="24"/>
              </w:rPr>
              <w:t>三、主要试验（或验证）的分析、综述报告，技术经济论证，预期的经济效果</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_Toc46098152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6</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3" w:history="1">
            <w:r w:rsidR="00D9013D">
              <w:rPr>
                <w:rStyle w:val="ae"/>
                <w:rFonts w:ascii="宋体" w:hAnsi="宋体"/>
                <w:b w:val="0"/>
                <w:bCs w:val="0"/>
                <w:sz w:val="24"/>
                <w:szCs w:val="24"/>
              </w:rPr>
              <w:t>四、采用国际标准和国外先进标准的程度，以及与国际、国外同类标准水平的对比情况，或与测试的国外样品、样机的有关数据对比情况</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_Toc46098153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7</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4" w:history="1">
            <w:r w:rsidR="00D9013D">
              <w:rPr>
                <w:rStyle w:val="ae"/>
                <w:rFonts w:ascii="宋体" w:hAnsi="宋体"/>
                <w:b w:val="0"/>
                <w:bCs w:val="0"/>
                <w:sz w:val="24"/>
                <w:szCs w:val="24"/>
              </w:rPr>
              <w:t>五、与有关的现行法律、法规和强制性标准的关系</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_Toc46098154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7</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5" w:history="1">
            <w:r w:rsidR="00D9013D">
              <w:rPr>
                <w:rStyle w:val="ae"/>
                <w:rFonts w:ascii="宋体" w:hAnsi="宋体"/>
                <w:b w:val="0"/>
                <w:bCs w:val="0"/>
                <w:sz w:val="24"/>
                <w:szCs w:val="24"/>
              </w:rPr>
              <w:t>六、重大分歧意见的处理经过和依据</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_Toc46098155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7</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6" w:history="1">
            <w:r w:rsidR="00D9013D">
              <w:rPr>
                <w:rStyle w:val="ae"/>
                <w:rFonts w:ascii="宋体" w:hAnsi="宋体"/>
                <w:b w:val="0"/>
                <w:bCs w:val="0"/>
                <w:sz w:val="24"/>
                <w:szCs w:val="24"/>
              </w:rPr>
              <w:t>七、贯彻标准的要求和措施建议（包括组织措施、技术措施、过渡办法等内容）</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_Toc46098156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7</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7" w:history="1">
            <w:r w:rsidR="00D9013D">
              <w:rPr>
                <w:rStyle w:val="ae"/>
                <w:rFonts w:ascii="宋体" w:hAnsi="宋体"/>
                <w:b w:val="0"/>
                <w:bCs w:val="0"/>
                <w:sz w:val="24"/>
                <w:szCs w:val="24"/>
              </w:rPr>
              <w:t>八、废止现行有关标准的建议</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_Toc46098157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7</w:t>
            </w:r>
            <w:r>
              <w:rPr>
                <w:rFonts w:ascii="宋体" w:hAnsi="宋体"/>
                <w:b w:val="0"/>
                <w:bCs w:val="0"/>
                <w:sz w:val="24"/>
                <w:szCs w:val="24"/>
              </w:rPr>
              <w:fldChar w:fldCharType="end"/>
            </w:r>
          </w:hyperlink>
        </w:p>
        <w:p w:rsidR="00262F60" w:rsidRDefault="00E43317">
          <w:pPr>
            <w:pStyle w:val="10"/>
            <w:tabs>
              <w:tab w:val="right" w:leader="dot" w:pos="8268"/>
            </w:tabs>
            <w:spacing w:line="360" w:lineRule="auto"/>
            <w:rPr>
              <w:rFonts w:ascii="宋体" w:hAnsi="宋体" w:cstheme="minorBidi"/>
              <w:b w:val="0"/>
              <w:bCs w:val="0"/>
              <w:caps w:val="0"/>
              <w:sz w:val="24"/>
              <w:szCs w:val="24"/>
            </w:rPr>
          </w:pPr>
          <w:hyperlink w:anchor="_Toc46098158" w:history="1">
            <w:r w:rsidR="00D9013D">
              <w:rPr>
                <w:rStyle w:val="ae"/>
                <w:rFonts w:ascii="宋体" w:hAnsi="宋体"/>
                <w:b w:val="0"/>
                <w:bCs w:val="0"/>
                <w:sz w:val="24"/>
                <w:szCs w:val="24"/>
              </w:rPr>
              <w:t>九、其他应予说明的事项</w:t>
            </w:r>
            <w:r w:rsidR="00D9013D">
              <w:rPr>
                <w:rFonts w:ascii="宋体" w:hAnsi="宋体"/>
                <w:b w:val="0"/>
                <w:bCs w:val="0"/>
                <w:sz w:val="24"/>
                <w:szCs w:val="24"/>
              </w:rPr>
              <w:tab/>
            </w:r>
            <w:r>
              <w:rPr>
                <w:rFonts w:ascii="宋体" w:hAnsi="宋体"/>
                <w:b w:val="0"/>
                <w:bCs w:val="0"/>
                <w:sz w:val="24"/>
                <w:szCs w:val="24"/>
              </w:rPr>
              <w:fldChar w:fldCharType="begin"/>
            </w:r>
            <w:r w:rsidR="00D9013D">
              <w:rPr>
                <w:rFonts w:ascii="宋体" w:hAnsi="宋体"/>
                <w:b w:val="0"/>
                <w:bCs w:val="0"/>
                <w:sz w:val="24"/>
                <w:szCs w:val="24"/>
              </w:rPr>
              <w:instrText xml:space="preserve"> PAGEREF _Toc46098158 \h </w:instrText>
            </w:r>
            <w:r>
              <w:rPr>
                <w:rFonts w:ascii="宋体" w:hAnsi="宋体"/>
                <w:b w:val="0"/>
                <w:bCs w:val="0"/>
                <w:sz w:val="24"/>
                <w:szCs w:val="24"/>
              </w:rPr>
            </w:r>
            <w:r>
              <w:rPr>
                <w:rFonts w:ascii="宋体" w:hAnsi="宋体"/>
                <w:b w:val="0"/>
                <w:bCs w:val="0"/>
                <w:sz w:val="24"/>
                <w:szCs w:val="24"/>
              </w:rPr>
              <w:fldChar w:fldCharType="separate"/>
            </w:r>
            <w:r w:rsidR="00D9013D">
              <w:rPr>
                <w:rFonts w:ascii="宋体" w:hAnsi="宋体"/>
                <w:b w:val="0"/>
                <w:bCs w:val="0"/>
                <w:sz w:val="24"/>
                <w:szCs w:val="24"/>
              </w:rPr>
              <w:t>8</w:t>
            </w:r>
            <w:r>
              <w:rPr>
                <w:rFonts w:ascii="宋体" w:hAnsi="宋体"/>
                <w:b w:val="0"/>
                <w:bCs w:val="0"/>
                <w:sz w:val="24"/>
                <w:szCs w:val="24"/>
              </w:rPr>
              <w:fldChar w:fldCharType="end"/>
            </w:r>
          </w:hyperlink>
        </w:p>
        <w:p w:rsidR="00262F60" w:rsidRDefault="00E43317">
          <w:pPr>
            <w:spacing w:line="360" w:lineRule="auto"/>
            <w:rPr>
              <w:rFonts w:ascii="宋体" w:hAnsi="宋体"/>
              <w:sz w:val="24"/>
              <w:szCs w:val="24"/>
            </w:rPr>
          </w:pPr>
          <w:r>
            <w:rPr>
              <w:rFonts w:ascii="宋体" w:hAnsi="宋体"/>
              <w:sz w:val="24"/>
              <w:szCs w:val="24"/>
            </w:rPr>
            <w:fldChar w:fldCharType="end"/>
          </w:r>
        </w:p>
      </w:sdtContent>
    </w:sdt>
    <w:p w:rsidR="00262F60" w:rsidRDefault="00262F60">
      <w:pPr>
        <w:spacing w:line="360" w:lineRule="auto"/>
        <w:rPr>
          <w:rFonts w:ascii="黑体" w:eastAsia="黑体" w:hAnsi="黑体"/>
          <w:szCs w:val="21"/>
        </w:rPr>
        <w:sectPr w:rsidR="00262F60">
          <w:footerReference w:type="default" r:id="rId15"/>
          <w:pgSz w:w="11906" w:h="16838"/>
          <w:pgMar w:top="1588" w:right="1814" w:bottom="1588" w:left="1814" w:header="851" w:footer="992" w:gutter="0"/>
          <w:cols w:space="425"/>
          <w:titlePg/>
          <w:docGrid w:type="lines" w:linePitch="312"/>
        </w:sectPr>
      </w:pPr>
    </w:p>
    <w:p w:rsidR="00262F60" w:rsidRDefault="00D9013D">
      <w:pPr>
        <w:spacing w:line="360" w:lineRule="auto"/>
        <w:jc w:val="center"/>
        <w:rPr>
          <w:rFonts w:asciiTheme="minorEastAsia" w:eastAsiaTheme="minorEastAsia" w:hAnsiTheme="minorEastAsia"/>
          <w:b/>
          <w:sz w:val="24"/>
          <w:szCs w:val="24"/>
        </w:rPr>
      </w:pPr>
      <w:bookmarkStart w:id="0" w:name="_Toc483660122"/>
      <w:bookmarkStart w:id="1" w:name="_Toc89252253"/>
      <w:r>
        <w:rPr>
          <w:rFonts w:asciiTheme="minorEastAsia" w:eastAsiaTheme="minorEastAsia" w:hAnsiTheme="minorEastAsia" w:hint="eastAsia"/>
          <w:b/>
          <w:sz w:val="24"/>
          <w:szCs w:val="24"/>
        </w:rPr>
        <w:lastRenderedPageBreak/>
        <w:t>《集装箱设备电子交接单》编制说明</w:t>
      </w:r>
    </w:p>
    <w:p w:rsidR="00262F60" w:rsidRDefault="00D9013D" w:rsidP="00D463ED">
      <w:pPr>
        <w:spacing w:beforeLines="50" w:line="360" w:lineRule="auto"/>
        <w:outlineLvl w:val="0"/>
        <w:rPr>
          <w:rFonts w:asciiTheme="minorEastAsia" w:eastAsiaTheme="minorEastAsia" w:hAnsiTheme="minorEastAsia"/>
          <w:b/>
          <w:sz w:val="24"/>
          <w:szCs w:val="24"/>
        </w:rPr>
      </w:pPr>
      <w:bookmarkStart w:id="2" w:name="_Toc46098150"/>
      <w:r>
        <w:rPr>
          <w:rFonts w:asciiTheme="minorEastAsia" w:eastAsiaTheme="minorEastAsia" w:hAnsiTheme="minorEastAsia" w:hint="eastAsia"/>
          <w:b/>
          <w:sz w:val="24"/>
          <w:szCs w:val="24"/>
        </w:rPr>
        <w:t>一、工</w:t>
      </w:r>
      <w:r>
        <w:rPr>
          <w:rFonts w:asciiTheme="minorEastAsia" w:eastAsiaTheme="minorEastAsia" w:hAnsiTheme="minorEastAsia" w:cs="Arial"/>
          <w:b/>
          <w:color w:val="000000"/>
          <w:sz w:val="24"/>
          <w:szCs w:val="24"/>
        </w:rPr>
        <w:t>作简况</w:t>
      </w:r>
      <w:bookmarkEnd w:id="0"/>
      <w:bookmarkEnd w:id="2"/>
    </w:p>
    <w:p w:rsidR="00262F60" w:rsidRDefault="00D9013D" w:rsidP="00D463ED">
      <w:pPr>
        <w:spacing w:beforeLines="50" w:line="360" w:lineRule="auto"/>
        <w:rPr>
          <w:rFonts w:asciiTheme="minorEastAsia" w:eastAsiaTheme="minorEastAsia" w:hAnsiTheme="minorEastAsia"/>
          <w:b/>
          <w:sz w:val="24"/>
          <w:szCs w:val="24"/>
        </w:rPr>
      </w:pPr>
      <w:bookmarkStart w:id="3" w:name="_Toc483660123"/>
      <w:bookmarkStart w:id="4" w:name="_Toc26972780"/>
      <w:r>
        <w:rPr>
          <w:rFonts w:asciiTheme="minorEastAsia" w:eastAsiaTheme="minorEastAsia" w:hAnsiTheme="minorEastAsia" w:hint="eastAsia"/>
          <w:b/>
          <w:sz w:val="24"/>
          <w:szCs w:val="24"/>
        </w:rPr>
        <w:t>（一）任务来源</w:t>
      </w:r>
      <w:bookmarkEnd w:id="1"/>
      <w:bookmarkEnd w:id="3"/>
      <w:bookmarkEnd w:id="4"/>
    </w:p>
    <w:p w:rsidR="00262F60" w:rsidRPr="0024703D" w:rsidRDefault="00D9013D" w:rsidP="00D463ED">
      <w:pPr>
        <w:spacing w:beforeLines="50" w:line="360" w:lineRule="auto"/>
        <w:ind w:firstLine="43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团体标准《</w:t>
      </w:r>
      <w:r>
        <w:rPr>
          <w:rFonts w:asciiTheme="minorEastAsia" w:eastAsiaTheme="minorEastAsia" w:hAnsiTheme="minorEastAsia" w:hint="eastAsia"/>
          <w:bCs/>
          <w:sz w:val="24"/>
          <w:szCs w:val="24"/>
        </w:rPr>
        <w:t>集装箱设备电子交接单</w:t>
      </w:r>
      <w:r>
        <w:rPr>
          <w:rFonts w:asciiTheme="minorEastAsia" w:eastAsiaTheme="minorEastAsia" w:hAnsiTheme="minorEastAsia" w:hint="eastAsia"/>
          <w:sz w:val="24"/>
          <w:szCs w:val="24"/>
        </w:rPr>
        <w:t>》是</w:t>
      </w:r>
      <w:r w:rsidRPr="0024703D">
        <w:rPr>
          <w:rFonts w:asciiTheme="minorEastAsia" w:eastAsiaTheme="minorEastAsia" w:hAnsiTheme="minorEastAsia" w:hint="eastAsia"/>
          <w:sz w:val="24"/>
          <w:szCs w:val="24"/>
        </w:rPr>
        <w:t>根据</w:t>
      </w:r>
      <w:r w:rsidR="0024703D" w:rsidRPr="0024703D">
        <w:rPr>
          <w:rFonts w:asciiTheme="minorEastAsia" w:eastAsiaTheme="minorEastAsia" w:hAnsiTheme="minorEastAsia" w:hint="eastAsia"/>
          <w:sz w:val="24"/>
          <w:szCs w:val="24"/>
        </w:rPr>
        <w:t>中国港口协会关于《2019年度中国港口协会第二批团体标准化计划》</w:t>
      </w:r>
      <w:r w:rsidR="00225BBA">
        <w:rPr>
          <w:rFonts w:asciiTheme="minorEastAsia" w:eastAsiaTheme="minorEastAsia" w:hAnsiTheme="minorEastAsia" w:hint="eastAsia"/>
          <w:sz w:val="24"/>
          <w:szCs w:val="24"/>
        </w:rPr>
        <w:t>（中港协行函[2019]44号）</w:t>
      </w:r>
      <w:r w:rsidR="0024703D" w:rsidRPr="0024703D">
        <w:rPr>
          <w:rFonts w:asciiTheme="minorEastAsia" w:eastAsiaTheme="minorEastAsia" w:hAnsiTheme="minorEastAsia" w:hint="eastAsia"/>
          <w:sz w:val="24"/>
          <w:szCs w:val="24"/>
        </w:rPr>
        <w:t>的通知</w:t>
      </w:r>
      <w:r w:rsidRPr="0024703D">
        <w:rPr>
          <w:rFonts w:asciiTheme="minorEastAsia" w:eastAsiaTheme="minorEastAsia" w:hAnsiTheme="minorEastAsia" w:hint="eastAsia"/>
          <w:sz w:val="24"/>
          <w:szCs w:val="24"/>
        </w:rPr>
        <w:t>，计划编号（201</w:t>
      </w:r>
      <w:r w:rsidRPr="0024703D">
        <w:rPr>
          <w:rFonts w:asciiTheme="minorEastAsia" w:eastAsiaTheme="minorEastAsia" w:hAnsiTheme="minorEastAsia"/>
          <w:sz w:val="24"/>
          <w:szCs w:val="24"/>
        </w:rPr>
        <w:t>9</w:t>
      </w:r>
      <w:r w:rsidR="0024703D" w:rsidRPr="0024703D">
        <w:rPr>
          <w:rFonts w:asciiTheme="minorEastAsia" w:eastAsiaTheme="minorEastAsia" w:hAnsiTheme="minorEastAsia" w:hint="eastAsia"/>
          <w:sz w:val="24"/>
          <w:szCs w:val="24"/>
        </w:rPr>
        <w:t>-13</w:t>
      </w:r>
      <w:r w:rsidRPr="0024703D">
        <w:rPr>
          <w:rFonts w:asciiTheme="minorEastAsia" w:eastAsiaTheme="minorEastAsia" w:hAnsiTheme="minorEastAsia" w:hint="eastAsia"/>
          <w:sz w:val="24"/>
          <w:szCs w:val="24"/>
        </w:rPr>
        <w:t>）的安排，由上海国际港务（集团）股份有限公司负责编制。</w:t>
      </w:r>
    </w:p>
    <w:p w:rsidR="00262F60" w:rsidRDefault="00D9013D" w:rsidP="00D463ED">
      <w:pPr>
        <w:spacing w:beforeLines="50" w:line="360" w:lineRule="auto"/>
        <w:rPr>
          <w:rFonts w:asciiTheme="minorEastAsia" w:eastAsiaTheme="minorEastAsia" w:hAnsiTheme="minorEastAsia"/>
          <w:b/>
          <w:sz w:val="24"/>
          <w:szCs w:val="24"/>
        </w:rPr>
      </w:pPr>
      <w:bookmarkStart w:id="5" w:name="_Toc26972781"/>
      <w:r>
        <w:rPr>
          <w:rFonts w:asciiTheme="minorEastAsia" w:eastAsiaTheme="minorEastAsia" w:hAnsiTheme="minorEastAsia" w:hint="eastAsia"/>
          <w:b/>
          <w:sz w:val="24"/>
          <w:szCs w:val="24"/>
        </w:rPr>
        <w:t>（二）起草单位</w:t>
      </w:r>
      <w:bookmarkEnd w:id="5"/>
    </w:p>
    <w:p w:rsidR="00262F60" w:rsidRDefault="00D9013D" w:rsidP="00D463ED">
      <w:pPr>
        <w:spacing w:beforeLines="50" w:line="360" w:lineRule="auto"/>
        <w:ind w:firstLine="435"/>
        <w:jc w:val="left"/>
        <w:rPr>
          <w:rFonts w:ascii="黑体" w:eastAsia="黑体" w:hAnsi="黑体"/>
          <w:sz w:val="24"/>
          <w:szCs w:val="24"/>
        </w:rPr>
      </w:pPr>
      <w:r w:rsidRPr="0024703D">
        <w:rPr>
          <w:rFonts w:ascii="宋体" w:hint="eastAsia"/>
          <w:sz w:val="24"/>
          <w:szCs w:val="24"/>
        </w:rPr>
        <w:t>标准编写主要由上海国际港务（集团）股份有限公司负责、协作单位主要为</w:t>
      </w:r>
      <w:r w:rsidRPr="0024703D">
        <w:rPr>
          <w:rFonts w:asciiTheme="minorEastAsia" w:eastAsiaTheme="minorEastAsia" w:hAnsiTheme="minorEastAsia" w:hint="eastAsia"/>
          <w:sz w:val="24"/>
          <w:szCs w:val="24"/>
        </w:rPr>
        <w:t>宁波</w:t>
      </w:r>
      <w:r w:rsidR="00D463ED">
        <w:rPr>
          <w:rFonts w:asciiTheme="minorEastAsia" w:eastAsiaTheme="minorEastAsia" w:hAnsiTheme="minorEastAsia" w:hint="eastAsia"/>
          <w:sz w:val="24"/>
          <w:szCs w:val="24"/>
        </w:rPr>
        <w:t>舟山</w:t>
      </w:r>
      <w:r w:rsidRPr="0024703D">
        <w:rPr>
          <w:rFonts w:asciiTheme="minorEastAsia" w:eastAsiaTheme="minorEastAsia" w:hAnsiTheme="minorEastAsia" w:hint="eastAsia"/>
          <w:sz w:val="24"/>
          <w:szCs w:val="24"/>
        </w:rPr>
        <w:t>港集团有限公司、天津港（集团）有限公司、上海</w:t>
      </w:r>
      <w:r>
        <w:rPr>
          <w:rFonts w:asciiTheme="minorEastAsia" w:eastAsiaTheme="minorEastAsia" w:hAnsiTheme="minorEastAsia" w:hint="eastAsia"/>
          <w:sz w:val="24"/>
          <w:szCs w:val="24"/>
        </w:rPr>
        <w:t>海事大学和上海港口协会</w:t>
      </w:r>
      <w:r>
        <w:rPr>
          <w:rFonts w:ascii="宋体" w:hint="eastAsia"/>
          <w:sz w:val="24"/>
          <w:szCs w:val="24"/>
        </w:rPr>
        <w:t>。</w:t>
      </w:r>
    </w:p>
    <w:p w:rsidR="00262F60" w:rsidRDefault="00D9013D" w:rsidP="00D463ED">
      <w:pPr>
        <w:spacing w:beforeLines="50" w:line="360" w:lineRule="auto"/>
        <w:rPr>
          <w:rFonts w:asciiTheme="minorEastAsia" w:eastAsiaTheme="minorEastAsia" w:hAnsiTheme="minorEastAsia"/>
          <w:b/>
          <w:sz w:val="24"/>
          <w:szCs w:val="24"/>
        </w:rPr>
      </w:pPr>
      <w:bookmarkStart w:id="6" w:name="_Toc26972782"/>
      <w:r>
        <w:rPr>
          <w:rFonts w:asciiTheme="minorEastAsia" w:eastAsiaTheme="minorEastAsia" w:hAnsiTheme="minorEastAsia" w:hint="eastAsia"/>
          <w:b/>
          <w:sz w:val="24"/>
          <w:szCs w:val="24"/>
        </w:rPr>
        <w:t>（三）主要起草人及其所做的工作</w:t>
      </w:r>
      <w:bookmarkEnd w:id="6"/>
    </w:p>
    <w:p w:rsidR="00262F60" w:rsidRDefault="00D9013D" w:rsidP="00D463ED">
      <w:pPr>
        <w:spacing w:beforeLines="50" w:line="360" w:lineRule="auto"/>
        <w:ind w:firstLine="435"/>
        <w:jc w:val="left"/>
        <w:rPr>
          <w:rFonts w:ascii="宋体"/>
          <w:sz w:val="24"/>
          <w:szCs w:val="24"/>
        </w:rPr>
      </w:pPr>
      <w:r>
        <w:rPr>
          <w:rFonts w:ascii="宋体" w:hint="eastAsia"/>
          <w:sz w:val="24"/>
          <w:szCs w:val="24"/>
        </w:rPr>
        <w:t>标准主要起草人有严俊、韩青原、王昕、杨宗杰、林安东、徐骏、黄桁、朱军、戴越、张鑫、童建忠、林柯龙、张蕾、王强、柯冬澄、</w:t>
      </w:r>
      <w:r>
        <w:rPr>
          <w:rFonts w:asciiTheme="minorEastAsia" w:eastAsiaTheme="minorEastAsia" w:hAnsiTheme="minorEastAsia" w:hint="eastAsia"/>
          <w:szCs w:val="21"/>
        </w:rPr>
        <w:t>王轩</w:t>
      </w:r>
      <w:r>
        <w:rPr>
          <w:rFonts w:ascii="宋体" w:hint="eastAsia"/>
          <w:sz w:val="24"/>
          <w:szCs w:val="24"/>
        </w:rPr>
        <w:t>、</w:t>
      </w:r>
      <w:r>
        <w:rPr>
          <w:rFonts w:asciiTheme="minorEastAsia" w:eastAsiaTheme="minorEastAsia" w:hAnsiTheme="minorEastAsia" w:hint="eastAsia"/>
          <w:szCs w:val="21"/>
        </w:rPr>
        <w:t>杨志新</w:t>
      </w:r>
      <w:r>
        <w:rPr>
          <w:rFonts w:ascii="宋体" w:hint="eastAsia"/>
          <w:sz w:val="24"/>
          <w:szCs w:val="24"/>
        </w:rPr>
        <w:t>、</w:t>
      </w:r>
      <w:r>
        <w:rPr>
          <w:rFonts w:asciiTheme="minorEastAsia" w:eastAsiaTheme="minorEastAsia" w:hAnsiTheme="minorEastAsia" w:hint="eastAsia"/>
          <w:szCs w:val="21"/>
        </w:rPr>
        <w:t>李秋男</w:t>
      </w:r>
      <w:r>
        <w:rPr>
          <w:rFonts w:ascii="宋体" w:hint="eastAsia"/>
          <w:sz w:val="24"/>
          <w:szCs w:val="24"/>
        </w:rPr>
        <w:t>、赵宁、沈一帆。</w:t>
      </w:r>
    </w:p>
    <w:p w:rsidR="00262F60" w:rsidRDefault="00D9013D" w:rsidP="00D463ED">
      <w:pPr>
        <w:spacing w:beforeLines="50" w:line="360" w:lineRule="auto"/>
        <w:ind w:firstLine="435"/>
        <w:jc w:val="left"/>
        <w:rPr>
          <w:rFonts w:ascii="宋体"/>
          <w:sz w:val="24"/>
          <w:szCs w:val="24"/>
        </w:rPr>
      </w:pPr>
      <w:r>
        <w:rPr>
          <w:rFonts w:ascii="宋体" w:hint="eastAsia"/>
          <w:sz w:val="24"/>
          <w:szCs w:val="24"/>
        </w:rPr>
        <w:t>起草人任务分工见表1.1。</w:t>
      </w:r>
    </w:p>
    <w:p w:rsidR="00262F60" w:rsidRDefault="00D9013D" w:rsidP="00D463ED">
      <w:pPr>
        <w:spacing w:beforeLines="50" w:line="360" w:lineRule="auto"/>
        <w:jc w:val="center"/>
        <w:rPr>
          <w:rFonts w:ascii="黑体" w:eastAsia="黑体" w:hAnsi="黑体"/>
          <w:sz w:val="24"/>
          <w:szCs w:val="24"/>
        </w:rPr>
      </w:pPr>
      <w:r>
        <w:rPr>
          <w:rFonts w:ascii="黑体" w:eastAsia="黑体" w:hAnsi="黑体" w:hint="eastAsia"/>
          <w:sz w:val="24"/>
          <w:szCs w:val="24"/>
        </w:rPr>
        <w:t>表1.1 标准主要起草人任务分工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748"/>
        <w:gridCol w:w="2042"/>
        <w:gridCol w:w="1145"/>
        <w:gridCol w:w="2545"/>
      </w:tblGrid>
      <w:tr w:rsidR="00262F60">
        <w:tc>
          <w:tcPr>
            <w:tcW w:w="597" w:type="pct"/>
          </w:tcPr>
          <w:p w:rsidR="00262F60" w:rsidRDefault="00D9013D" w:rsidP="00D463ED">
            <w:pPr>
              <w:spacing w:beforeLines="50"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029" w:type="pct"/>
          </w:tcPr>
          <w:p w:rsidR="00262F60" w:rsidRDefault="00D9013D" w:rsidP="00D463ED">
            <w:pPr>
              <w:spacing w:beforeLines="50" w:line="360" w:lineRule="auto"/>
              <w:ind w:firstLine="435"/>
              <w:jc w:val="left"/>
              <w:rPr>
                <w:rFonts w:asciiTheme="minorEastAsia" w:eastAsiaTheme="minorEastAsia" w:hAnsiTheme="minorEastAsia"/>
                <w:szCs w:val="21"/>
              </w:rPr>
            </w:pPr>
            <w:r>
              <w:rPr>
                <w:rFonts w:asciiTheme="minorEastAsia" w:eastAsiaTheme="minorEastAsia" w:hAnsiTheme="minorEastAsia" w:hint="eastAsia"/>
                <w:szCs w:val="21"/>
              </w:rPr>
              <w:t>单  位</w:t>
            </w:r>
          </w:p>
        </w:tc>
        <w:tc>
          <w:tcPr>
            <w:tcW w:w="1202" w:type="pct"/>
          </w:tcPr>
          <w:p w:rsidR="00262F60" w:rsidRDefault="00D9013D" w:rsidP="00D463ED">
            <w:pPr>
              <w:spacing w:beforeLines="50" w:line="360" w:lineRule="auto"/>
              <w:ind w:firstLine="435"/>
              <w:jc w:val="left"/>
              <w:rPr>
                <w:rFonts w:asciiTheme="minorEastAsia" w:eastAsiaTheme="minorEastAsia" w:hAnsiTheme="minorEastAsia"/>
                <w:szCs w:val="21"/>
              </w:rPr>
            </w:pPr>
            <w:r>
              <w:rPr>
                <w:rFonts w:asciiTheme="minorEastAsia" w:eastAsiaTheme="minorEastAsia" w:hAnsiTheme="minorEastAsia" w:hint="eastAsia"/>
                <w:szCs w:val="21"/>
              </w:rPr>
              <w:t>职务、职称</w:t>
            </w:r>
          </w:p>
        </w:tc>
        <w:tc>
          <w:tcPr>
            <w:tcW w:w="674" w:type="pct"/>
          </w:tcPr>
          <w:p w:rsidR="00262F60" w:rsidRDefault="00D9013D" w:rsidP="00D463ED">
            <w:pPr>
              <w:spacing w:beforeLines="50"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项目职务</w:t>
            </w:r>
          </w:p>
        </w:tc>
        <w:tc>
          <w:tcPr>
            <w:tcW w:w="1498" w:type="pct"/>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分    工</w:t>
            </w:r>
          </w:p>
        </w:tc>
      </w:tr>
      <w:tr w:rsidR="00262F60">
        <w:trPr>
          <w:trHeight w:val="1457"/>
        </w:trPr>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严俊</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202" w:type="pct"/>
            <w:vAlign w:val="center"/>
          </w:tcPr>
          <w:p w:rsidR="00262F60" w:rsidRDefault="00D9013D" w:rsidP="00D463ED">
            <w:pPr>
              <w:spacing w:beforeLines="50" w:line="36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上港集团党委副书记、总裁</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组长</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标准第一执笔人，标准修订总负责，审核相关技术。</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韩青原</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总助</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标准全文修辞与英文审核。</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王昕</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w:t>
            </w:r>
            <w:r>
              <w:rPr>
                <w:rFonts w:asciiTheme="minorEastAsia" w:eastAsiaTheme="minorEastAsia" w:hAnsiTheme="minorEastAsia" w:hint="eastAsia"/>
                <w:szCs w:val="21"/>
              </w:rPr>
              <w:lastRenderedPageBreak/>
              <w:t>（集团）股份有限公司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经理</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w:t>
            </w:r>
            <w:r>
              <w:rPr>
                <w:rFonts w:asciiTheme="minorEastAsia" w:eastAsiaTheme="minorEastAsia" w:hAnsiTheme="minorEastAsia" w:hint="eastAsia"/>
                <w:szCs w:val="21"/>
              </w:rPr>
              <w:lastRenderedPageBreak/>
              <w:t>核及相关技术审核。</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杨宗杰</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副主任</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文献资料检索、编写的调研，参与了</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章节的编写及相关技术论证。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林安东</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室高级经理</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w:t>
            </w:r>
            <w:r>
              <w:rPr>
                <w:rFonts w:asciiTheme="minorEastAsia" w:eastAsiaTheme="minorEastAsia" w:hAnsiTheme="minorEastAsia"/>
                <w:szCs w:val="21"/>
              </w:rPr>
              <w:t>5</w:t>
            </w:r>
            <w:r>
              <w:rPr>
                <w:rFonts w:asciiTheme="minorEastAsia" w:eastAsiaTheme="minorEastAsia" w:hAnsiTheme="minorEastAsia" w:hint="eastAsia"/>
                <w:szCs w:val="21"/>
              </w:rPr>
              <w:t>章节的相关技术论证。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徐骏</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主管</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结构、要素条文的审核和标准的编辑性修改。</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黄桁</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上海海勃物流软件有限公司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正高级高级工程师</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朱军</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上海海勃物流软件有限公司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（高级）信息系统项目管理师架构分析师</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7</w:t>
            </w:r>
            <w:r>
              <w:rPr>
                <w:rFonts w:asciiTheme="minorEastAsia" w:eastAsiaTheme="minorEastAsia" w:hAnsiTheme="minorEastAsia" w:hint="eastAsia"/>
                <w:szCs w:val="21"/>
              </w:rPr>
              <w:t>章节的编写及相关技术论证。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戴越</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上海上港陆上运输服务有限公司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szCs w:val="21"/>
              </w:rPr>
              <w:t>总经理</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w:t>
            </w:r>
            <w:r>
              <w:rPr>
                <w:rFonts w:asciiTheme="minorEastAsia" w:eastAsiaTheme="minorEastAsia" w:hAnsiTheme="minorEastAsia"/>
                <w:szCs w:val="21"/>
              </w:rPr>
              <w:t>6</w:t>
            </w:r>
            <w:r>
              <w:rPr>
                <w:rFonts w:asciiTheme="minorEastAsia" w:eastAsiaTheme="minorEastAsia" w:hAnsiTheme="minorEastAsia" w:hint="eastAsia"/>
                <w:szCs w:val="21"/>
              </w:rPr>
              <w:t>章节的编写及相关技术论证。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张鑫</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上海上港陆上运输服务有限公司</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szCs w:val="21"/>
              </w:rPr>
              <w:t>经理助理</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第4</w:t>
            </w:r>
            <w:r>
              <w:rPr>
                <w:rFonts w:asciiTheme="minorEastAsia" w:eastAsiaTheme="minorEastAsia" w:hAnsiTheme="minorEastAsia"/>
                <w:szCs w:val="21"/>
              </w:rPr>
              <w:t>-5</w:t>
            </w:r>
            <w:r>
              <w:rPr>
                <w:rFonts w:asciiTheme="minorEastAsia" w:eastAsiaTheme="minorEastAsia" w:hAnsiTheme="minorEastAsia" w:hint="eastAsia"/>
                <w:szCs w:val="21"/>
              </w:rPr>
              <w:t>章节的编写。</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童建忠</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浙江易港通电子商务有限公司</w:t>
            </w:r>
          </w:p>
        </w:tc>
        <w:tc>
          <w:tcPr>
            <w:tcW w:w="2042"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公司总经理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结构、要素条文的审核和标准的编辑性修改。</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林柯龙</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浙江易港通电子商务有限公司</w:t>
            </w:r>
          </w:p>
        </w:tc>
        <w:tc>
          <w:tcPr>
            <w:tcW w:w="2042"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公司副总经理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第5章节的相关技术论证。</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张蕾</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宁波舟山港集团</w:t>
            </w:r>
          </w:p>
        </w:tc>
        <w:tc>
          <w:tcPr>
            <w:tcW w:w="2042"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生产安全部主管</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王强</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浙江易港通电子</w:t>
            </w:r>
            <w:r>
              <w:rPr>
                <w:rFonts w:ascii="宋体" w:hAnsi="宋体" w:hint="eastAsia"/>
                <w:bCs/>
                <w:szCs w:val="21"/>
              </w:rPr>
              <w:lastRenderedPageBreak/>
              <w:t>商务有限公司</w:t>
            </w:r>
          </w:p>
        </w:tc>
        <w:tc>
          <w:tcPr>
            <w:tcW w:w="2042"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lastRenderedPageBreak/>
              <w:t>商务研发部经理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第5章节的编写及相关技</w:t>
            </w:r>
            <w:r>
              <w:rPr>
                <w:rFonts w:asciiTheme="minorEastAsia" w:eastAsiaTheme="minorEastAsia" w:hAnsiTheme="minorEastAsia" w:hint="eastAsia"/>
                <w:szCs w:val="21"/>
              </w:rPr>
              <w:lastRenderedPageBreak/>
              <w:t>术论证。</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lastRenderedPageBreak/>
              <w:t>柯冬澄</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浙江易港通电子商务有限公司</w:t>
            </w:r>
          </w:p>
        </w:tc>
        <w:tc>
          <w:tcPr>
            <w:tcW w:w="2042" w:type="dxa"/>
            <w:vAlign w:val="center"/>
          </w:tcPr>
          <w:p w:rsidR="00262F60" w:rsidRDefault="00D9013D">
            <w:pPr>
              <w:spacing w:line="300" w:lineRule="auto"/>
              <w:jc w:val="center"/>
              <w:rPr>
                <w:rFonts w:asciiTheme="minorEastAsia" w:eastAsiaTheme="minorEastAsia" w:hAnsiTheme="minorEastAsia"/>
                <w:szCs w:val="21"/>
              </w:rPr>
            </w:pPr>
            <w:r>
              <w:rPr>
                <w:rFonts w:ascii="宋体" w:hAnsi="宋体" w:hint="eastAsia"/>
                <w:bCs/>
                <w:szCs w:val="21"/>
              </w:rPr>
              <w:t>工程技术部经理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bookmarkStart w:id="7" w:name="_GoBack" w:colFirst="0" w:colLast="4"/>
            <w:r>
              <w:rPr>
                <w:rFonts w:asciiTheme="minorEastAsia" w:eastAsiaTheme="minorEastAsia" w:hAnsiTheme="minorEastAsia" w:hint="eastAsia"/>
                <w:szCs w:val="21"/>
              </w:rPr>
              <w:t>王轩</w:t>
            </w:r>
          </w:p>
        </w:tc>
        <w:tc>
          <w:tcPr>
            <w:tcW w:w="1748"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2042" w:type="dxa"/>
            <w:vAlign w:val="center"/>
          </w:tcPr>
          <w:p w:rsidR="00262F60" w:rsidRDefault="00D9013D">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262F60" w:rsidRDefault="00D9013D">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总经理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杨志新</w:t>
            </w:r>
          </w:p>
        </w:tc>
        <w:tc>
          <w:tcPr>
            <w:tcW w:w="1748" w:type="dxa"/>
            <w:vAlign w:val="center"/>
          </w:tcPr>
          <w:p w:rsidR="00262F60" w:rsidRDefault="00D9013D">
            <w:pPr>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2042" w:type="dxa"/>
            <w:vAlign w:val="center"/>
          </w:tcPr>
          <w:p w:rsidR="00262F60" w:rsidRDefault="00D9013D">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副总经理</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第5章节的编写及相关技术论证。</w:t>
            </w:r>
          </w:p>
        </w:tc>
      </w:tr>
      <w:tr w:rsidR="00262F60">
        <w:tc>
          <w:tcPr>
            <w:tcW w:w="1014"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李秋男</w:t>
            </w:r>
          </w:p>
        </w:tc>
        <w:tc>
          <w:tcPr>
            <w:tcW w:w="1748" w:type="dxa"/>
            <w:vAlign w:val="center"/>
          </w:tcPr>
          <w:p w:rsidR="00262F60" w:rsidRDefault="00D9013D">
            <w:pPr>
              <w:jc w:val="center"/>
              <w:rPr>
                <w:rFonts w:asciiTheme="minorEastAsia" w:eastAsiaTheme="minorEastAsia" w:hAnsiTheme="minorEastAsia"/>
                <w:szCs w:val="21"/>
              </w:rPr>
            </w:pPr>
            <w:r>
              <w:rPr>
                <w:rFonts w:asciiTheme="minorEastAsia" w:eastAsiaTheme="minorEastAsia" w:hAnsiTheme="minorEastAsia" w:hint="eastAsia"/>
                <w:szCs w:val="21"/>
              </w:rPr>
              <w:t>天津港（集团）有限公司</w:t>
            </w:r>
          </w:p>
        </w:tc>
        <w:tc>
          <w:tcPr>
            <w:tcW w:w="2042" w:type="dxa"/>
            <w:vAlign w:val="center"/>
          </w:tcPr>
          <w:p w:rsidR="00262F60" w:rsidRDefault="00D9013D">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信息化主管</w:t>
            </w:r>
          </w:p>
        </w:tc>
        <w:tc>
          <w:tcPr>
            <w:tcW w:w="11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5" w:type="dxa"/>
            <w:vAlign w:val="center"/>
          </w:tcPr>
          <w:p w:rsidR="00262F60" w:rsidRDefault="00D9013D">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赵宁</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上海海事大学</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副教授</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整理材料，修改文稿。</w:t>
            </w:r>
          </w:p>
        </w:tc>
      </w:tr>
      <w:tr w:rsidR="00262F60">
        <w:tc>
          <w:tcPr>
            <w:tcW w:w="597"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沈一帆</w:t>
            </w:r>
          </w:p>
        </w:tc>
        <w:tc>
          <w:tcPr>
            <w:tcW w:w="1029"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上海海事大学</w:t>
            </w:r>
          </w:p>
        </w:tc>
        <w:tc>
          <w:tcPr>
            <w:tcW w:w="1202"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讲师</w:t>
            </w:r>
          </w:p>
        </w:tc>
        <w:tc>
          <w:tcPr>
            <w:tcW w:w="674"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8" w:type="pct"/>
            <w:vAlign w:val="center"/>
          </w:tcPr>
          <w:p w:rsidR="00262F60" w:rsidRDefault="00D9013D" w:rsidP="00D463ED">
            <w:pPr>
              <w:spacing w:beforeLines="50"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标准附录的编写。</w:t>
            </w:r>
          </w:p>
        </w:tc>
      </w:tr>
    </w:tbl>
    <w:p w:rsidR="00262F60" w:rsidRDefault="00D9013D" w:rsidP="00D463ED">
      <w:pPr>
        <w:spacing w:beforeLines="50" w:line="360" w:lineRule="auto"/>
        <w:rPr>
          <w:rFonts w:asciiTheme="minorEastAsia" w:eastAsiaTheme="minorEastAsia" w:hAnsiTheme="minorEastAsia"/>
          <w:b/>
          <w:sz w:val="24"/>
          <w:szCs w:val="24"/>
        </w:rPr>
      </w:pPr>
      <w:bookmarkStart w:id="8" w:name="_Toc26972783"/>
      <w:bookmarkStart w:id="9" w:name="_Toc483660124"/>
      <w:bookmarkEnd w:id="7"/>
      <w:r>
        <w:rPr>
          <w:rFonts w:asciiTheme="minorEastAsia" w:eastAsiaTheme="minorEastAsia" w:hAnsiTheme="minorEastAsia" w:hint="eastAsia"/>
          <w:b/>
          <w:sz w:val="24"/>
          <w:szCs w:val="24"/>
        </w:rPr>
        <w:t>（四）主要工作</w:t>
      </w:r>
      <w:r>
        <w:rPr>
          <w:rFonts w:asciiTheme="minorEastAsia" w:eastAsiaTheme="minorEastAsia" w:hAnsiTheme="minorEastAsia"/>
          <w:b/>
          <w:sz w:val="24"/>
          <w:szCs w:val="24"/>
        </w:rPr>
        <w:t>过</w:t>
      </w:r>
      <w:r>
        <w:rPr>
          <w:rFonts w:asciiTheme="minorEastAsia" w:eastAsiaTheme="minorEastAsia" w:hAnsiTheme="minorEastAsia" w:hint="eastAsia"/>
          <w:b/>
          <w:sz w:val="24"/>
          <w:szCs w:val="24"/>
        </w:rPr>
        <w:t>程</w:t>
      </w:r>
      <w:bookmarkEnd w:id="8"/>
      <w:bookmarkEnd w:id="9"/>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lang w:val="zh-CN"/>
        </w:rPr>
        <w:t>201</w:t>
      </w:r>
      <w:r>
        <w:rPr>
          <w:rFonts w:asciiTheme="minorEastAsia" w:eastAsiaTheme="minorEastAsia" w:hAnsiTheme="minorEastAsia" w:cs="宋体"/>
          <w:color w:val="000000"/>
          <w:sz w:val="24"/>
          <w:szCs w:val="24"/>
          <w:lang w:val="zh-CN"/>
        </w:rPr>
        <w:t>9</w:t>
      </w:r>
      <w:r>
        <w:rPr>
          <w:rFonts w:asciiTheme="minorEastAsia" w:eastAsiaTheme="minorEastAsia" w:hAnsiTheme="minorEastAsia" w:cs="宋体" w:hint="eastAsia"/>
          <w:color w:val="000000"/>
          <w:sz w:val="24"/>
          <w:szCs w:val="24"/>
          <w:lang w:val="zh-CN"/>
        </w:rPr>
        <w:t>年根据《</w:t>
      </w:r>
      <w:r w:rsidR="0024703D" w:rsidRPr="0024703D">
        <w:rPr>
          <w:rFonts w:asciiTheme="minorEastAsia" w:eastAsiaTheme="minorEastAsia" w:hAnsiTheme="minorEastAsia" w:hint="eastAsia"/>
          <w:sz w:val="24"/>
          <w:szCs w:val="24"/>
        </w:rPr>
        <w:t>2019年度中国港口协会第二批团体标准化计划</w:t>
      </w:r>
      <w:r>
        <w:rPr>
          <w:rFonts w:asciiTheme="minorEastAsia" w:eastAsiaTheme="minorEastAsia" w:hAnsiTheme="minorEastAsia" w:cs="宋体" w:hint="eastAsia"/>
          <w:color w:val="000000"/>
          <w:sz w:val="24"/>
          <w:szCs w:val="24"/>
          <w:lang w:val="zh-CN"/>
        </w:rPr>
        <w:t>》</w:t>
      </w:r>
      <w:r>
        <w:rPr>
          <w:rFonts w:asciiTheme="minorEastAsia" w:eastAsiaTheme="minorEastAsia" w:hAnsiTheme="minorEastAsia" w:hint="eastAsia"/>
          <w:sz w:val="24"/>
          <w:szCs w:val="24"/>
        </w:rPr>
        <w:t>，项目承担单位根据计划要求，成立编制组，明确了标准编写任务分工和时间进度安排，组织开展标准制定工作：</w:t>
      </w:r>
    </w:p>
    <w:p w:rsidR="00262F60" w:rsidRDefault="00D9013D" w:rsidP="00D463ED">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10</w:t>
      </w:r>
      <w:r>
        <w:rPr>
          <w:rFonts w:asciiTheme="minorEastAsia" w:eastAsiaTheme="minorEastAsia" w:hAnsiTheme="minorEastAsia" w:hint="eastAsia"/>
          <w:sz w:val="24"/>
          <w:szCs w:val="24"/>
        </w:rPr>
        <w:t>月～1</w:t>
      </w:r>
      <w:r>
        <w:rPr>
          <w:rFonts w:asciiTheme="minorEastAsia" w:eastAsiaTheme="minorEastAsia" w:hAnsiTheme="minorEastAsia"/>
          <w:sz w:val="24"/>
          <w:szCs w:val="24"/>
        </w:rPr>
        <w:t>1月</w:t>
      </w:r>
      <w:r>
        <w:rPr>
          <w:rFonts w:asciiTheme="minorEastAsia" w:eastAsiaTheme="minorEastAsia" w:hAnsiTheme="minorEastAsia" w:hint="eastAsia"/>
          <w:sz w:val="24"/>
          <w:szCs w:val="24"/>
        </w:rPr>
        <w:t>，调研了上海上港陆上运输服务有限公司，了解集装箱设备电子交接单系统平台运营情况及业务流程，并与国家标准</w:t>
      </w:r>
      <w:r>
        <w:rPr>
          <w:rFonts w:asciiTheme="minorEastAsia" w:eastAsiaTheme="minorEastAsia" w:hAnsiTheme="minorEastAsia"/>
          <w:sz w:val="24"/>
          <w:szCs w:val="24"/>
        </w:rPr>
        <w:t>GB/T 16561</w:t>
      </w:r>
      <w:r>
        <w:rPr>
          <w:rFonts w:asciiTheme="minorEastAsia" w:eastAsiaTheme="minorEastAsia" w:hAnsiTheme="minorEastAsia" w:hint="eastAsia"/>
          <w:sz w:val="24"/>
          <w:szCs w:val="24"/>
        </w:rPr>
        <w:t>进行对照，初步了解纸质设备交接单与集装箱设备电子交接单内容、使用方面的区别及联系，对实现集装箱设备交接单电子化过程中，单证数据化的格式与安全要求、单证流转无纸化的业务需求等问题进行总结归纳，编制标准制定研究大纲。</w:t>
      </w:r>
    </w:p>
    <w:p w:rsidR="00262F60" w:rsidRDefault="00D9013D" w:rsidP="00D463ED">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12</w:t>
      </w:r>
      <w:r>
        <w:rPr>
          <w:rFonts w:asciiTheme="minorEastAsia" w:eastAsiaTheme="minorEastAsia" w:hAnsiTheme="minorEastAsia" w:hint="eastAsia"/>
          <w:sz w:val="24"/>
          <w:szCs w:val="24"/>
        </w:rPr>
        <w:t>月，根据GB/T1.1-2009给出的规则，初步编写了《集装箱设备电子交接单》标准草案，召开标准制定研究大纲评审会，提交研究大纲和标准草案。根据大纲评审意见对研究大纲进行修改。</w:t>
      </w:r>
    </w:p>
    <w:p w:rsidR="00262F60" w:rsidRDefault="00D9013D" w:rsidP="00D463ED">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2020</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月，开展相关物流企业和港口的调研和技术交流。</w:t>
      </w:r>
    </w:p>
    <w:p w:rsidR="00262F60" w:rsidRDefault="00D9013D" w:rsidP="00D463ED">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3、20</w:t>
      </w:r>
      <w:r>
        <w:rPr>
          <w:rFonts w:asciiTheme="minorEastAsia" w:eastAsiaTheme="minorEastAsia" w:hAnsiTheme="minorEastAsia"/>
          <w:sz w:val="24"/>
          <w:szCs w:val="24"/>
        </w:rPr>
        <w:t>20</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1-5</w:t>
      </w:r>
      <w:r>
        <w:rPr>
          <w:rFonts w:asciiTheme="minorEastAsia" w:eastAsiaTheme="minorEastAsia" w:hAnsiTheme="minorEastAsia" w:hint="eastAsia"/>
          <w:sz w:val="24"/>
          <w:szCs w:val="24"/>
        </w:rPr>
        <w:t>月，在标准草案的基础上进行了修改，并对修改后的标准草案不妥之处提出修正意见。</w:t>
      </w:r>
    </w:p>
    <w:p w:rsidR="00262F60" w:rsidRDefault="00D9013D" w:rsidP="00D463ED">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4、2020年</w:t>
      </w:r>
      <w:r>
        <w:rPr>
          <w:rFonts w:asciiTheme="minorEastAsia" w:eastAsiaTheme="minorEastAsia" w:hAnsiTheme="minorEastAsia"/>
          <w:sz w:val="24"/>
          <w:szCs w:val="24"/>
        </w:rPr>
        <w:t>2</w:t>
      </w:r>
      <w:r>
        <w:rPr>
          <w:rFonts w:asciiTheme="minorEastAsia" w:eastAsiaTheme="minorEastAsia" w:hAnsiTheme="minorEastAsia" w:hint="eastAsia"/>
          <w:sz w:val="24"/>
          <w:szCs w:val="24"/>
        </w:rPr>
        <w:t>-6月，在标准草案的基础上，编写组反复讨论修改，完成了征求意见稿（初稿）。</w:t>
      </w:r>
    </w:p>
    <w:p w:rsidR="00262F60" w:rsidRPr="0024703D" w:rsidRDefault="00D9013D" w:rsidP="00D463ED">
      <w:pPr>
        <w:spacing w:beforeLines="50" w:line="360" w:lineRule="auto"/>
        <w:ind w:firstLineChars="200" w:firstLine="480"/>
        <w:jc w:val="left"/>
        <w:rPr>
          <w:rFonts w:asciiTheme="minorEastAsia" w:eastAsiaTheme="minorEastAsia" w:hAnsiTheme="minorEastAsia"/>
          <w:sz w:val="24"/>
          <w:szCs w:val="24"/>
        </w:rPr>
      </w:pPr>
      <w:r w:rsidRPr="0024703D">
        <w:rPr>
          <w:rFonts w:asciiTheme="minorEastAsia" w:eastAsiaTheme="minorEastAsia" w:hAnsiTheme="minorEastAsia" w:hint="eastAsia"/>
          <w:sz w:val="24"/>
          <w:szCs w:val="24"/>
        </w:rPr>
        <w:t>5、2020年7月，完成征求意见稿，并进行意见征询。</w:t>
      </w:r>
    </w:p>
    <w:p w:rsidR="00262F60" w:rsidRDefault="00D9013D" w:rsidP="00D463ED">
      <w:pPr>
        <w:spacing w:beforeLines="50" w:line="360" w:lineRule="auto"/>
        <w:outlineLvl w:val="0"/>
        <w:rPr>
          <w:rFonts w:ascii="黑体" w:eastAsia="黑体" w:hAnsi="黑体"/>
          <w:szCs w:val="21"/>
        </w:rPr>
      </w:pPr>
      <w:bookmarkStart w:id="10" w:name="_Toc46098151"/>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标准编制原则和确定标准主要内容</w:t>
      </w:r>
      <w:r>
        <w:rPr>
          <w:rFonts w:asciiTheme="minorEastAsia" w:eastAsiaTheme="minorEastAsia" w:hAnsiTheme="minorEastAsia" w:hint="eastAsia"/>
          <w:b/>
          <w:sz w:val="24"/>
          <w:szCs w:val="24"/>
        </w:rPr>
        <w:t>的论据</w:t>
      </w:r>
      <w:bookmarkEnd w:id="10"/>
    </w:p>
    <w:p w:rsidR="00262F60" w:rsidRDefault="00D9013D" w:rsidP="00D463ED">
      <w:pPr>
        <w:spacing w:beforeLines="50" w:line="360" w:lineRule="auto"/>
        <w:rPr>
          <w:rFonts w:asciiTheme="minorEastAsia" w:eastAsiaTheme="minorEastAsia" w:hAnsiTheme="minorEastAsia"/>
          <w:b/>
          <w:sz w:val="24"/>
          <w:szCs w:val="24"/>
        </w:rPr>
      </w:pPr>
      <w:bookmarkStart w:id="11" w:name="_Toc26972785"/>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标准编制原则</w:t>
      </w:r>
      <w:bookmarkEnd w:id="11"/>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本标准按GB/T 1.1—2009给出的规则起草。</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适用性原则：标准制定的相关内容应便于使用，一方面应适于直接使用，另一方面也应考虑便于被其它文件引用。</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协调性原则：应考虑标准之间的整体协调，在制定标准时应注意和已经发布的标准进行协调，遵守基础标准和采取引用的方式是保证标准协调的有效途径。</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规范性原则：起草标准时遵守与标准制定有关的基础标准和相关法律法规。</w:t>
      </w:r>
    </w:p>
    <w:p w:rsidR="00262F60" w:rsidRDefault="00D9013D" w:rsidP="00D463ED">
      <w:pPr>
        <w:spacing w:beforeLines="50" w:line="360" w:lineRule="auto"/>
        <w:rPr>
          <w:rFonts w:asciiTheme="minorEastAsia" w:eastAsiaTheme="minorEastAsia" w:hAnsiTheme="minorEastAsia"/>
          <w:b/>
          <w:sz w:val="24"/>
          <w:szCs w:val="24"/>
        </w:rPr>
      </w:pPr>
      <w:bookmarkStart w:id="12" w:name="_Toc26972786"/>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确定标准主要内容</w:t>
      </w:r>
      <w:r>
        <w:rPr>
          <w:rFonts w:asciiTheme="minorEastAsia" w:eastAsiaTheme="minorEastAsia" w:hAnsiTheme="minorEastAsia" w:hint="eastAsia"/>
          <w:b/>
          <w:sz w:val="24"/>
          <w:szCs w:val="24"/>
        </w:rPr>
        <w:t>的论据</w:t>
      </w:r>
      <w:bookmarkEnd w:id="12"/>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本标准规定了国际集装箱运输过程中集装箱设备电子交接单的一般要求、数据内容和格式要求、使用要求和数据交互要求。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本标准适用于国际集装箱运输中集装箱设备的交接和集装箱设备电子交接单平台的软件开发和数据交互。</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本标准主要内容：第一章范围；第二章 规范性引用文件；第三章 术语和定义；第四章 一般要求；第五章 集装箱设备电子交接单的内容及格式；第六章 集装箱设备电子交接单的使用要求；第七章 集装箱设备电子交接单的数据交互要求。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本标准编制的内容包括如下：</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第一章  范围</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本标准规定了集装箱设备电子交接单的一般要求、数据内容和格式要求、</w:t>
      </w:r>
      <w:r>
        <w:rPr>
          <w:rFonts w:asciiTheme="minorEastAsia" w:eastAsiaTheme="minorEastAsia" w:hAnsiTheme="minorEastAsia" w:hint="eastAsia"/>
          <w:sz w:val="24"/>
          <w:szCs w:val="24"/>
        </w:rPr>
        <w:lastRenderedPageBreak/>
        <w:t>使用要求和数据交互要求。本标准适用于国际集装箱运输中集装箱设备电子交接单的流转和集装箱设备电子交接单平台的软件开发及数据交互。</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论据：本标准的范围基于标准编写的主要目的进行界定。</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2</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第二章 规范性引用文件</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本标准引用了如下标准：</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1992集装箱名词术语</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8487 港口装卸术语</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17271  集装箱运输术语</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16561 集装箱设备交接单</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 21028 信息安全技术 服务器安全技术要求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22239 信息安全技术网络安全等级保护基本要求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 11601 集装箱港站检查口检查交接标准</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论据：引用上述这些标准，其中一些标准涉及术语的引用，一些标准涉及平台服务器、网络的安全问题，一些标准涉及集装箱港站检查口交接要求等。</w:t>
      </w:r>
    </w:p>
    <w:p w:rsidR="00262F60" w:rsidRDefault="00D9013D" w:rsidP="00D463ED">
      <w:pPr>
        <w:spacing w:beforeLines="50"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3</w:t>
      </w:r>
      <w:r>
        <w:rPr>
          <w:rFonts w:asciiTheme="minorEastAsia" w:eastAsiaTheme="minorEastAsia" w:hAnsiTheme="minorEastAsia" w:hint="eastAsia"/>
          <w:b/>
          <w:color w:val="000000" w:themeColor="text1"/>
          <w:sz w:val="24"/>
          <w:szCs w:val="24"/>
        </w:rPr>
        <w:t>.</w:t>
      </w:r>
      <w:r>
        <w:rPr>
          <w:rFonts w:asciiTheme="minorEastAsia" w:eastAsiaTheme="minorEastAsia" w:hAnsiTheme="minorEastAsia" w:hint="eastAsia"/>
          <w:b/>
          <w:sz w:val="24"/>
          <w:szCs w:val="24"/>
        </w:rPr>
        <w:t>第三章</w:t>
      </w:r>
      <w:r>
        <w:rPr>
          <w:rFonts w:asciiTheme="minorEastAsia" w:eastAsiaTheme="minorEastAsia" w:hAnsiTheme="minorEastAsia" w:hint="eastAsia"/>
          <w:b/>
          <w:color w:val="000000" w:themeColor="text1"/>
          <w:sz w:val="24"/>
          <w:szCs w:val="24"/>
        </w:rPr>
        <w:t xml:space="preserve">  术语和定义</w:t>
      </w:r>
    </w:p>
    <w:p w:rsidR="00262F60" w:rsidRDefault="00D9013D" w:rsidP="00D463ED">
      <w:pPr>
        <w:spacing w:beforeLines="50" w:line="360" w:lineRule="auto"/>
        <w:ind w:firstLine="42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该部分主要阐述了在</w:t>
      </w:r>
      <w:r>
        <w:rPr>
          <w:rFonts w:asciiTheme="minorEastAsia" w:eastAsiaTheme="minorEastAsia" w:hAnsiTheme="minorEastAsia" w:hint="eastAsia"/>
          <w:color w:val="000000" w:themeColor="text1"/>
          <w:sz w:val="24"/>
          <w:szCs w:val="24"/>
        </w:rPr>
        <w:t>集装箱设备电子交接单</w:t>
      </w:r>
      <w:r>
        <w:rPr>
          <w:rFonts w:asciiTheme="minorEastAsia" w:eastAsiaTheme="minorEastAsia" w:hAnsiTheme="minorEastAsia"/>
          <w:color w:val="000000" w:themeColor="text1"/>
          <w:sz w:val="24"/>
          <w:szCs w:val="24"/>
        </w:rPr>
        <w:t>的生成</w:t>
      </w:r>
      <w:r>
        <w:rPr>
          <w:rFonts w:asciiTheme="minorEastAsia" w:eastAsiaTheme="minorEastAsia" w:hAnsiTheme="minorEastAsia" w:hint="eastAsia"/>
          <w:color w:val="000000" w:themeColor="text1"/>
          <w:sz w:val="24"/>
          <w:szCs w:val="24"/>
        </w:rPr>
        <w:t>、流转</w:t>
      </w:r>
      <w:r>
        <w:rPr>
          <w:rFonts w:asciiTheme="minorEastAsia" w:eastAsiaTheme="minorEastAsia" w:hAnsiTheme="minorEastAsia"/>
          <w:color w:val="000000" w:themeColor="text1"/>
          <w:sz w:val="24"/>
          <w:szCs w:val="24"/>
        </w:rPr>
        <w:t>和核销过程中所涉及的术语和相关定义</w:t>
      </w:r>
      <w:r>
        <w:rPr>
          <w:rFonts w:asciiTheme="minorEastAsia" w:eastAsiaTheme="minorEastAsia" w:hAnsiTheme="minorEastAsia" w:hint="eastAsia"/>
          <w:color w:val="000000" w:themeColor="text1"/>
          <w:sz w:val="24"/>
          <w:szCs w:val="24"/>
        </w:rPr>
        <w:t>。</w:t>
      </w:r>
    </w:p>
    <w:p w:rsidR="00262F60" w:rsidRDefault="00D9013D" w:rsidP="00D463ED">
      <w:pPr>
        <w:spacing w:beforeLines="50" w:line="360" w:lineRule="auto"/>
        <w:ind w:firstLine="4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论据：</w:t>
      </w:r>
      <w:r>
        <w:rPr>
          <w:rFonts w:asciiTheme="minorEastAsia" w:eastAsiaTheme="minorEastAsia" w:hAnsiTheme="minorEastAsia"/>
          <w:color w:val="000000" w:themeColor="text1"/>
          <w:sz w:val="24"/>
          <w:szCs w:val="24"/>
        </w:rPr>
        <w:t>因为</w:t>
      </w:r>
      <w:r>
        <w:rPr>
          <w:rFonts w:asciiTheme="minorEastAsia" w:eastAsiaTheme="minorEastAsia" w:hAnsiTheme="minorEastAsia" w:hint="eastAsia"/>
          <w:color w:val="000000" w:themeColor="text1"/>
          <w:sz w:val="24"/>
          <w:szCs w:val="24"/>
        </w:rPr>
        <w:t>电子交接单</w:t>
      </w:r>
      <w:r>
        <w:rPr>
          <w:rFonts w:asciiTheme="minorEastAsia" w:eastAsiaTheme="minorEastAsia" w:hAnsiTheme="minorEastAsia"/>
          <w:color w:val="000000" w:themeColor="text1"/>
          <w:sz w:val="24"/>
          <w:szCs w:val="24"/>
        </w:rPr>
        <w:t>是</w:t>
      </w:r>
      <w:r>
        <w:rPr>
          <w:rFonts w:asciiTheme="minorEastAsia" w:eastAsiaTheme="minorEastAsia" w:hAnsiTheme="minorEastAsia" w:hint="eastAsia"/>
          <w:color w:val="000000" w:themeColor="text1"/>
          <w:sz w:val="24"/>
          <w:szCs w:val="24"/>
        </w:rPr>
        <w:t>集装箱设备交接单</w:t>
      </w:r>
      <w:r>
        <w:rPr>
          <w:rFonts w:asciiTheme="minorEastAsia" w:eastAsiaTheme="minorEastAsia" w:hAnsiTheme="minorEastAsia"/>
          <w:color w:val="000000" w:themeColor="text1"/>
          <w:sz w:val="24"/>
          <w:szCs w:val="24"/>
        </w:rPr>
        <w:t>的数字化形式</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且其生成</w:t>
      </w:r>
      <w:r>
        <w:rPr>
          <w:rFonts w:asciiTheme="minorEastAsia" w:eastAsiaTheme="minorEastAsia" w:hAnsiTheme="minorEastAsia" w:hint="eastAsia"/>
          <w:color w:val="000000" w:themeColor="text1"/>
          <w:sz w:val="24"/>
          <w:szCs w:val="24"/>
        </w:rPr>
        <w:t>、流转及核销需依托于集装箱设备电子交接单平台，因此首先对集装箱设备电子交接单和集装箱设备电子交接单平台进行了定义。</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4</w:t>
      </w:r>
      <w:r>
        <w:rPr>
          <w:rFonts w:asciiTheme="minorEastAsia" w:eastAsiaTheme="minorEastAsia" w:hAnsiTheme="minorEastAsia" w:hint="eastAsia"/>
          <w:b/>
          <w:sz w:val="24"/>
          <w:szCs w:val="24"/>
        </w:rPr>
        <w:t>.第四章一般要求</w:t>
      </w:r>
    </w:p>
    <w:p w:rsidR="00262F60" w:rsidRDefault="00D9013D" w:rsidP="00D463ED">
      <w:pPr>
        <w:spacing w:beforeLines="50" w:line="360" w:lineRule="auto"/>
        <w:ind w:firstLine="4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该部分主要规定了集装箱设备电子交接单及集装箱设备电子交接单平台运行的具有共性的基本要求，主要从设备硬件和功能需求以及平台使用方（注册公司和注册用户）基本要求两方面进行规定。</w:t>
      </w:r>
    </w:p>
    <w:p w:rsidR="00262F60" w:rsidRDefault="00D9013D" w:rsidP="00D463ED">
      <w:pPr>
        <w:spacing w:beforeLines="50" w:line="360" w:lineRule="auto"/>
        <w:ind w:firstLine="42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lastRenderedPageBreak/>
        <w:t>论据：</w:t>
      </w:r>
      <w:r>
        <w:rPr>
          <w:rFonts w:asciiTheme="minorEastAsia" w:eastAsiaTheme="minorEastAsia" w:hAnsiTheme="minorEastAsia" w:hint="eastAsia"/>
          <w:color w:val="000000" w:themeColor="text1"/>
          <w:sz w:val="24"/>
          <w:szCs w:val="24"/>
        </w:rPr>
        <w:t>设备方面主要参照目前具备类似功用的服务端设备和终端设备的硬件和功能需求，具有一定的普遍性和广泛性；平台使用方基本要求主要参照目前国内已成熟运营的集装箱设备电子交接单平台对使用方的规范要求，根据平台运营至今的反馈而制定，具备一定的科学性、合理性和可靠性。</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5</w:t>
      </w:r>
      <w:r>
        <w:rPr>
          <w:rFonts w:asciiTheme="minorEastAsia" w:eastAsiaTheme="minorEastAsia" w:hAnsiTheme="minorEastAsia" w:hint="eastAsia"/>
          <w:b/>
          <w:sz w:val="24"/>
          <w:szCs w:val="24"/>
        </w:rPr>
        <w:t>.第五章集装箱设备电子交接单的内容及格式</w:t>
      </w:r>
    </w:p>
    <w:p w:rsidR="00262F60" w:rsidRDefault="00D9013D" w:rsidP="00D463ED">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该部分主要定义了</w:t>
      </w:r>
      <w:r>
        <w:rPr>
          <w:rFonts w:asciiTheme="minorEastAsia" w:eastAsiaTheme="minorEastAsia" w:hAnsiTheme="minorEastAsia" w:hint="eastAsia"/>
          <w:sz w:val="24"/>
          <w:szCs w:val="24"/>
        </w:rPr>
        <w:t>集装箱设备电子交接单所含的项目内容、表示形式、标准代码、数据格式以及集装箱设备电子交接单的图文样式。集装箱设备电子交接单的信息内容分为电子交接单基本信息、放箱信息、进出场检查记录三个部分，本章节中分别规定了这三个部分的数据项（字段），包括字段英文名称、中文名称、</w:t>
      </w:r>
      <w:r>
        <w:rPr>
          <w:rFonts w:asciiTheme="minorEastAsia" w:eastAsiaTheme="minorEastAsia" w:hAnsiTheme="minorEastAsia" w:hint="eastAsia"/>
          <w:color w:val="000000" w:themeColor="text1"/>
          <w:sz w:val="24"/>
          <w:szCs w:val="24"/>
        </w:rPr>
        <w:t>类型、长度、是否必填、格式要求及说明等，并给出了电子交接单的图文格式。</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论据：为了给集装箱设备电子交接单平台和接入方系统的数据库设计提供参考，本章规定了集装箱设备电子交接单的主要内容。另外</w:t>
      </w:r>
      <w:r>
        <w:rPr>
          <w:rFonts w:asciiTheme="minorEastAsia" w:eastAsiaTheme="minorEastAsia" w:hAnsiTheme="minorEastAsia" w:hint="eastAsia"/>
          <w:color w:val="000000" w:themeColor="text1"/>
          <w:sz w:val="24"/>
          <w:szCs w:val="24"/>
        </w:rPr>
        <w:t>为更好地实现</w:t>
      </w:r>
      <w:r>
        <w:rPr>
          <w:rFonts w:asciiTheme="minorEastAsia" w:eastAsiaTheme="minorEastAsia" w:hAnsiTheme="minorEastAsia" w:hint="eastAsia"/>
          <w:sz w:val="24"/>
          <w:szCs w:val="24"/>
        </w:rPr>
        <w:t>集装箱设备</w:t>
      </w:r>
      <w:r>
        <w:rPr>
          <w:rFonts w:asciiTheme="minorEastAsia" w:eastAsiaTheme="minorEastAsia" w:hAnsiTheme="minorEastAsia" w:hint="eastAsia"/>
          <w:color w:val="000000" w:themeColor="text1"/>
          <w:sz w:val="24"/>
          <w:szCs w:val="24"/>
        </w:rPr>
        <w:t>纸质交接单向电子交接单过渡，本标准也推荐了</w:t>
      </w:r>
      <w:r>
        <w:rPr>
          <w:rFonts w:asciiTheme="minorEastAsia" w:eastAsiaTheme="minorEastAsia" w:hAnsiTheme="minorEastAsia" w:hint="eastAsia"/>
          <w:sz w:val="24"/>
          <w:szCs w:val="24"/>
        </w:rPr>
        <w:t>集装箱设备电子交接单</w:t>
      </w:r>
      <w:r>
        <w:rPr>
          <w:rFonts w:asciiTheme="minorEastAsia" w:eastAsiaTheme="minorEastAsia" w:hAnsiTheme="minorEastAsia" w:hint="eastAsia"/>
          <w:color w:val="000000" w:themeColor="text1"/>
          <w:sz w:val="24"/>
          <w:szCs w:val="24"/>
        </w:rPr>
        <w:t>在屏幕显示方式的图文表示格式，主要参照和借鉴了现有纸质设备交接单的基本形式，在附件中给出。</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6</w:t>
      </w:r>
      <w:r>
        <w:rPr>
          <w:rFonts w:asciiTheme="minorEastAsia" w:eastAsiaTheme="minorEastAsia" w:hAnsiTheme="minorEastAsia" w:hint="eastAsia"/>
          <w:b/>
          <w:sz w:val="24"/>
          <w:szCs w:val="24"/>
        </w:rPr>
        <w:t>.第六章集装箱设备电子交接单的使用要求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该部分主要规定了集装箱设备电子交接单的签发、流转、集装箱设备交接与电子单证核销等业务过程中的使用要求。</w:t>
      </w:r>
    </w:p>
    <w:p w:rsidR="00262F60" w:rsidRDefault="00D9013D" w:rsidP="00D463ED">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其中电子集装箱设备电子交接单签发的主要数据来源为船公司或其授权的船代或堆场签发，数据管理原则主要遵循谁签发谁管理的原则，签发方有权修改、冻结、核销集装箱设备电子交接单。集装箱设备电子交接单在签发方、放箱方、运箱人、运箱司机之间的流转过程与原有纸质单据流程基本保持一致，只是信息传递的载体变为EEIR平台。基于电子单证模式的集装箱设备交接参考了上海港、宁波港、天津港等主要港口的设备交接信息传递形式，规定EEIR平台的电子交接单应支持二维码，交接过程中的发现的箱损、坏污、破损程度等情况，应在EEIR平台记录，并由相关责任方签字确认。根据平台运营相</w:t>
      </w:r>
      <w:r>
        <w:rPr>
          <w:rFonts w:asciiTheme="minorEastAsia" w:eastAsiaTheme="minorEastAsia" w:hAnsiTheme="minorEastAsia" w:hint="eastAsia"/>
          <w:sz w:val="24"/>
          <w:szCs w:val="24"/>
        </w:rPr>
        <w:lastRenderedPageBreak/>
        <w:t>关经验，平台应具备应对未按约定的业务流程完成交接任务的电子交接单核销功能。该部分的规定参照了传统纸质设备交接单使用过程中的操作习惯以及目前集装箱设备电子交接单平台的操作规程。</w:t>
      </w:r>
    </w:p>
    <w:p w:rsidR="00262F60" w:rsidRDefault="00D9013D" w:rsidP="00D463ED">
      <w:pPr>
        <w:spacing w:beforeLines="50"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7</w:t>
      </w:r>
      <w:r>
        <w:rPr>
          <w:rFonts w:asciiTheme="minorEastAsia" w:eastAsiaTheme="minorEastAsia" w:hAnsiTheme="minorEastAsia" w:hint="eastAsia"/>
          <w:b/>
          <w:sz w:val="24"/>
          <w:szCs w:val="24"/>
        </w:rPr>
        <w:t>.第七章集装箱设备电子交接单的数据交互要求</w:t>
      </w:r>
    </w:p>
    <w:p w:rsidR="00262F60" w:rsidRDefault="00D9013D" w:rsidP="00D463ED">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该部分主要规定了</w:t>
      </w:r>
      <w:r>
        <w:rPr>
          <w:rFonts w:asciiTheme="minorEastAsia" w:eastAsiaTheme="minorEastAsia" w:hAnsiTheme="minorEastAsia" w:hint="eastAsia"/>
          <w:sz w:val="24"/>
          <w:szCs w:val="24"/>
        </w:rPr>
        <w:t>集装箱设备电子交接单系统平台与船公司/船代、放箱代理/货代、车队、码头堆场等相关方进行数据交互的内容/接口</w:t>
      </w:r>
      <w:r>
        <w:rPr>
          <w:rFonts w:asciiTheme="minorEastAsia" w:eastAsiaTheme="minorEastAsia" w:hAnsiTheme="minorEastAsia" w:hint="eastAsia"/>
          <w:color w:val="000000" w:themeColor="text1"/>
          <w:sz w:val="24"/>
          <w:szCs w:val="24"/>
        </w:rPr>
        <w:t>。</w:t>
      </w:r>
    </w:p>
    <w:p w:rsidR="00262F60" w:rsidRDefault="00D9013D" w:rsidP="00D463ED">
      <w:pPr>
        <w:spacing w:beforeLines="50"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论据：</w:t>
      </w:r>
      <w:r>
        <w:rPr>
          <w:rFonts w:asciiTheme="minorEastAsia" w:eastAsiaTheme="minorEastAsia" w:hAnsiTheme="minorEastAsia" w:hint="eastAsia"/>
          <w:color w:val="000000" w:themeColor="text1"/>
          <w:sz w:val="24"/>
          <w:szCs w:val="24"/>
        </w:rPr>
        <w:t>首先是数据交互形式，经调研目前</w:t>
      </w:r>
      <w:r>
        <w:rPr>
          <w:rFonts w:asciiTheme="minorEastAsia" w:eastAsiaTheme="minorEastAsia" w:hAnsiTheme="minorEastAsia" w:hint="eastAsia"/>
          <w:sz w:val="24"/>
          <w:szCs w:val="24"/>
        </w:rPr>
        <w:t>上海港、宁波港、天津港</w:t>
      </w:r>
      <w:r>
        <w:rPr>
          <w:rFonts w:asciiTheme="minorEastAsia" w:eastAsiaTheme="minorEastAsia" w:hAnsiTheme="minorEastAsia" w:hint="eastAsia"/>
          <w:color w:val="000000" w:themeColor="text1"/>
          <w:sz w:val="24"/>
          <w:szCs w:val="24"/>
        </w:rPr>
        <w:t>成熟运营的EEIR平台交互均采用WEBAPI并使用json格式进行数据交互，因此标准中规定了平台宜通过WEB API，并采用json数据交换格式统一进行数据交互。鉴于数据安全方面的考虑，该部分规定了接口应具备授权认证功能，授权认证条件包括但不限于</w:t>
      </w:r>
      <w:r>
        <w:rPr>
          <w:rFonts w:asciiTheme="minorEastAsia" w:eastAsiaTheme="minorEastAsia" w:hAnsiTheme="minorEastAsia"/>
          <w:color w:val="000000" w:themeColor="text1"/>
          <w:sz w:val="24"/>
          <w:szCs w:val="24"/>
        </w:rPr>
        <w:t>平台提供有效的用户名、密码</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平台提供的源系统、指向系统、系统票据以及请求服务名称</w:t>
      </w:r>
      <w:r>
        <w:rPr>
          <w:rFonts w:asciiTheme="minorEastAsia" w:eastAsiaTheme="minorEastAsia" w:hAnsiTheme="minorEastAsia" w:hint="eastAsia"/>
          <w:color w:val="000000" w:themeColor="text1"/>
          <w:sz w:val="24"/>
          <w:szCs w:val="24"/>
        </w:rPr>
        <w:t>。另外该部分还规定了EEIR平台应提供数据接口服务范畴，包括船公司、放箱方、运箱人、码头或堆场等，以及应向各方提供的接口服务清单。</w:t>
      </w:r>
    </w:p>
    <w:p w:rsidR="00262F60" w:rsidRDefault="00D9013D" w:rsidP="00D463ED">
      <w:pPr>
        <w:spacing w:beforeLines="50" w:line="360" w:lineRule="auto"/>
        <w:outlineLvl w:val="0"/>
        <w:rPr>
          <w:rFonts w:asciiTheme="minorEastAsia" w:eastAsiaTheme="minorEastAsia" w:hAnsiTheme="minorEastAsia"/>
          <w:b/>
          <w:sz w:val="24"/>
          <w:szCs w:val="24"/>
        </w:rPr>
      </w:pPr>
      <w:bookmarkStart w:id="13" w:name="_Toc46098152"/>
      <w:r>
        <w:rPr>
          <w:rFonts w:asciiTheme="minorEastAsia" w:eastAsiaTheme="minorEastAsia" w:hAnsiTheme="minorEastAsia" w:hint="eastAsia"/>
          <w:b/>
          <w:sz w:val="24"/>
          <w:szCs w:val="24"/>
        </w:rPr>
        <w:t>三、主</w:t>
      </w:r>
      <w:r>
        <w:rPr>
          <w:rFonts w:asciiTheme="minorEastAsia" w:eastAsiaTheme="minorEastAsia" w:hAnsiTheme="minorEastAsia"/>
          <w:b/>
          <w:sz w:val="24"/>
          <w:szCs w:val="24"/>
        </w:rPr>
        <w:t>要试验（或验证）的分析、综述报告，技术经济论证，预期的经济效果</w:t>
      </w:r>
      <w:bookmarkEnd w:id="13"/>
    </w:p>
    <w:p w:rsidR="00262F60" w:rsidRDefault="00D9013D" w:rsidP="00D463ED">
      <w:pPr>
        <w:spacing w:beforeLines="50" w:line="360" w:lineRule="auto"/>
        <w:ind w:firstLineChars="200" w:firstLine="480"/>
        <w:rPr>
          <w:rFonts w:ascii="宋体" w:hAnsi="宋体"/>
          <w:sz w:val="24"/>
          <w:szCs w:val="24"/>
        </w:rPr>
      </w:pPr>
      <w:r>
        <w:rPr>
          <w:rFonts w:ascii="宋体" w:hAnsi="宋体" w:hint="eastAsia"/>
          <w:sz w:val="24"/>
          <w:szCs w:val="24"/>
        </w:rPr>
        <w:t>推进集装箱设备交接单电子化，是物流行业提效降本的有效举措，有利于缓解港区城市道路交通压力，提升行业透明度、规范市场秩序，也有助于建设绿色智能港口和打造节能环保型社会，符合建设交通强国的需要，同时也进一步改善我国口岸整体营商环境。</w:t>
      </w:r>
    </w:p>
    <w:p w:rsidR="00262F60" w:rsidRDefault="00D9013D" w:rsidP="00D463ED">
      <w:pPr>
        <w:spacing w:beforeLines="50" w:line="360" w:lineRule="auto"/>
        <w:ind w:firstLineChars="200" w:firstLine="480"/>
        <w:rPr>
          <w:rFonts w:ascii="宋体" w:hAnsi="宋体"/>
          <w:sz w:val="24"/>
          <w:szCs w:val="24"/>
        </w:rPr>
      </w:pPr>
      <w:r>
        <w:rPr>
          <w:rFonts w:ascii="宋体" w:hAnsi="宋体" w:hint="eastAsia"/>
          <w:sz w:val="24"/>
          <w:szCs w:val="24"/>
        </w:rPr>
        <w:t>总之，本标准的制定，并随标准的宣贯，定会取得一定的经济效益和社会效益。</w:t>
      </w:r>
    </w:p>
    <w:p w:rsidR="00262F60" w:rsidRDefault="00D9013D" w:rsidP="00D463ED">
      <w:pPr>
        <w:spacing w:beforeLines="50" w:line="360" w:lineRule="auto"/>
        <w:outlineLvl w:val="0"/>
        <w:rPr>
          <w:rFonts w:asciiTheme="minorEastAsia" w:eastAsiaTheme="minorEastAsia" w:hAnsiTheme="minorEastAsia"/>
          <w:b/>
          <w:sz w:val="24"/>
          <w:szCs w:val="24"/>
        </w:rPr>
      </w:pPr>
      <w:bookmarkStart w:id="14" w:name="_Toc46098153"/>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采用国际标准和国外先进标准的程度，以及与国际、国外同类标准水平的对比情况，或与测试的国外样品、样机的有关数据对比情况</w:t>
      </w:r>
      <w:bookmarkEnd w:id="14"/>
    </w:p>
    <w:p w:rsidR="00262F60" w:rsidRDefault="00D9013D" w:rsidP="00D463ED">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目前国际上尚无集装箱设备电子交接单的相关标准。</w:t>
      </w:r>
    </w:p>
    <w:p w:rsidR="00262F60" w:rsidRDefault="00D9013D" w:rsidP="00D463ED">
      <w:pPr>
        <w:spacing w:beforeLines="50" w:line="360" w:lineRule="auto"/>
        <w:outlineLvl w:val="0"/>
        <w:rPr>
          <w:rFonts w:asciiTheme="minorEastAsia" w:eastAsiaTheme="minorEastAsia" w:hAnsiTheme="minorEastAsia"/>
          <w:b/>
          <w:sz w:val="24"/>
          <w:szCs w:val="24"/>
        </w:rPr>
      </w:pPr>
      <w:bookmarkStart w:id="15" w:name="_Toc46098154"/>
      <w:r>
        <w:rPr>
          <w:rFonts w:asciiTheme="minorEastAsia" w:eastAsiaTheme="minorEastAsia" w:hAnsiTheme="minorEastAsia" w:hint="eastAsia"/>
          <w:b/>
          <w:sz w:val="24"/>
          <w:szCs w:val="24"/>
        </w:rPr>
        <w:t>五、</w:t>
      </w:r>
      <w:r>
        <w:rPr>
          <w:rFonts w:asciiTheme="minorEastAsia" w:eastAsiaTheme="minorEastAsia" w:hAnsiTheme="minorEastAsia"/>
          <w:b/>
          <w:sz w:val="24"/>
          <w:szCs w:val="24"/>
        </w:rPr>
        <w:t>与有关的现行法律、法规和强制性标准的关系</w:t>
      </w:r>
      <w:bookmarkEnd w:id="15"/>
    </w:p>
    <w:p w:rsidR="00262F60" w:rsidRDefault="00D9013D" w:rsidP="00D463ED">
      <w:pPr>
        <w:spacing w:beforeLines="50" w:line="360" w:lineRule="auto"/>
        <w:ind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w:t>
      </w:r>
      <w:r>
        <w:rPr>
          <w:rFonts w:asciiTheme="majorEastAsia" w:eastAsiaTheme="majorEastAsia" w:hAnsiTheme="majorEastAsia"/>
          <w:sz w:val="24"/>
          <w:szCs w:val="24"/>
        </w:rPr>
        <w:t>GB/</w:t>
      </w:r>
      <w:r>
        <w:rPr>
          <w:rFonts w:asciiTheme="majorEastAsia" w:eastAsiaTheme="majorEastAsia" w:hAnsiTheme="majorEastAsia" w:hint="eastAsia"/>
          <w:sz w:val="24"/>
          <w:szCs w:val="24"/>
        </w:rPr>
        <w:t>T</w:t>
      </w:r>
      <w:r>
        <w:rPr>
          <w:rFonts w:asciiTheme="majorEastAsia" w:eastAsiaTheme="majorEastAsia" w:hAnsiTheme="majorEastAsia"/>
          <w:sz w:val="24"/>
          <w:szCs w:val="24"/>
        </w:rPr>
        <w:t xml:space="preserve"> 16561 </w:t>
      </w:r>
      <w:r>
        <w:rPr>
          <w:rFonts w:asciiTheme="majorEastAsia" w:eastAsiaTheme="majorEastAsia" w:hAnsiTheme="majorEastAsia" w:hint="eastAsia"/>
          <w:sz w:val="24"/>
          <w:szCs w:val="24"/>
        </w:rPr>
        <w:t>《集装箱设备交接单》，其中术语和定义与本标</w:t>
      </w:r>
      <w:r>
        <w:rPr>
          <w:rFonts w:asciiTheme="majorEastAsia" w:eastAsiaTheme="majorEastAsia" w:hAnsiTheme="majorEastAsia" w:hint="eastAsia"/>
          <w:sz w:val="24"/>
          <w:szCs w:val="24"/>
        </w:rPr>
        <w:lastRenderedPageBreak/>
        <w:t>准保持一致。</w:t>
      </w:r>
    </w:p>
    <w:p w:rsidR="00262F60" w:rsidRDefault="00D9013D" w:rsidP="00D463ED">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本标准引用了GB 21028《信息安全技术 服务器安全技术要求》、GB/T 22239《信息安全技术 网络安全等级保护基本要求》，是为了体现集装箱设备电子交接单平台作为一个信息系统平台应具备的性能及安全要求。</w:t>
      </w:r>
    </w:p>
    <w:p w:rsidR="00262F60" w:rsidRDefault="00262F60" w:rsidP="00D463ED">
      <w:pPr>
        <w:spacing w:beforeLines="50" w:line="360" w:lineRule="auto"/>
        <w:jc w:val="left"/>
        <w:rPr>
          <w:rFonts w:asciiTheme="minorEastAsia" w:eastAsiaTheme="minorEastAsia" w:hAnsiTheme="minorEastAsia"/>
          <w:sz w:val="24"/>
          <w:szCs w:val="24"/>
        </w:rPr>
      </w:pPr>
    </w:p>
    <w:p w:rsidR="00262F60" w:rsidRDefault="00D9013D" w:rsidP="00D463ED">
      <w:pPr>
        <w:spacing w:beforeLines="50" w:line="360" w:lineRule="auto"/>
        <w:outlineLvl w:val="0"/>
        <w:rPr>
          <w:rFonts w:asciiTheme="minorEastAsia" w:eastAsiaTheme="minorEastAsia" w:hAnsiTheme="minorEastAsia"/>
          <w:b/>
          <w:sz w:val="24"/>
          <w:szCs w:val="24"/>
        </w:rPr>
      </w:pPr>
      <w:bookmarkStart w:id="16" w:name="_Toc46098155"/>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重大分歧意见的处理经过和依据</w:t>
      </w:r>
      <w:bookmarkEnd w:id="16"/>
    </w:p>
    <w:p w:rsidR="00262F60" w:rsidRDefault="00D9013D" w:rsidP="00D463ED">
      <w:pPr>
        <w:spacing w:beforeLines="50" w:line="360" w:lineRule="auto"/>
        <w:ind w:firstLine="420"/>
        <w:rPr>
          <w:sz w:val="24"/>
          <w:szCs w:val="24"/>
        </w:rPr>
      </w:pPr>
      <w:r>
        <w:rPr>
          <w:rFonts w:hint="eastAsia"/>
          <w:sz w:val="24"/>
          <w:szCs w:val="24"/>
        </w:rPr>
        <w:t>无。</w:t>
      </w:r>
    </w:p>
    <w:p w:rsidR="00262F60" w:rsidRDefault="00262F60" w:rsidP="00D463ED">
      <w:pPr>
        <w:spacing w:beforeLines="50" w:line="360" w:lineRule="auto"/>
        <w:rPr>
          <w:sz w:val="24"/>
          <w:szCs w:val="24"/>
        </w:rPr>
      </w:pPr>
    </w:p>
    <w:p w:rsidR="00262F60" w:rsidRDefault="00D9013D" w:rsidP="00D463ED">
      <w:pPr>
        <w:spacing w:beforeLines="50" w:line="360" w:lineRule="auto"/>
        <w:outlineLvl w:val="0"/>
        <w:rPr>
          <w:rFonts w:asciiTheme="minorEastAsia" w:eastAsiaTheme="minorEastAsia" w:hAnsiTheme="minorEastAsia"/>
          <w:b/>
          <w:sz w:val="24"/>
          <w:szCs w:val="24"/>
        </w:rPr>
      </w:pPr>
      <w:bookmarkStart w:id="17" w:name="_Toc46098156"/>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贯彻标准的要求和措施建议（包括组织措施、技术措施、过渡办法等内容）</w:t>
      </w:r>
      <w:bookmarkEnd w:id="17"/>
    </w:p>
    <w:p w:rsidR="00262F60" w:rsidRDefault="00D9013D" w:rsidP="00D463ED">
      <w:pPr>
        <w:spacing w:beforeLines="50"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在本标准发布后，开展对本标准的宣传和贯彻的培训，明确集装箱设备电子交接单系统平台的建设运营要求，为港口单证无纸化提供建议和指导。</w:t>
      </w:r>
    </w:p>
    <w:p w:rsidR="00262F60" w:rsidRDefault="00D9013D" w:rsidP="00D463ED">
      <w:pPr>
        <w:spacing w:beforeLines="50" w:line="360" w:lineRule="auto"/>
        <w:outlineLvl w:val="0"/>
        <w:rPr>
          <w:rFonts w:asciiTheme="minorEastAsia" w:eastAsiaTheme="minorEastAsia" w:hAnsiTheme="minorEastAsia"/>
          <w:b/>
          <w:sz w:val="24"/>
          <w:szCs w:val="24"/>
        </w:rPr>
      </w:pPr>
      <w:bookmarkStart w:id="18" w:name="_Toc46098157"/>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废止现行有关标准的建议</w:t>
      </w:r>
      <w:bookmarkEnd w:id="18"/>
    </w:p>
    <w:p w:rsidR="00262F60" w:rsidRDefault="00D9013D" w:rsidP="00D463ED">
      <w:pPr>
        <w:spacing w:beforeLines="50" w:line="360" w:lineRule="auto"/>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rsidR="00262F60" w:rsidRDefault="00262F60" w:rsidP="00D463ED">
      <w:pPr>
        <w:spacing w:beforeLines="50" w:line="360" w:lineRule="auto"/>
        <w:ind w:firstLineChars="202" w:firstLine="485"/>
        <w:rPr>
          <w:rFonts w:asciiTheme="minorEastAsia" w:eastAsiaTheme="minorEastAsia" w:hAnsiTheme="minorEastAsia"/>
          <w:sz w:val="24"/>
          <w:szCs w:val="24"/>
        </w:rPr>
      </w:pPr>
    </w:p>
    <w:p w:rsidR="00262F60" w:rsidRDefault="00D9013D" w:rsidP="00D463ED">
      <w:pPr>
        <w:spacing w:beforeLines="50" w:line="360" w:lineRule="auto"/>
        <w:outlineLvl w:val="0"/>
        <w:rPr>
          <w:rFonts w:asciiTheme="minorEastAsia" w:eastAsiaTheme="minorEastAsia" w:hAnsiTheme="minorEastAsia"/>
          <w:b/>
          <w:sz w:val="24"/>
          <w:szCs w:val="24"/>
        </w:rPr>
      </w:pPr>
      <w:bookmarkStart w:id="19" w:name="_Toc46098158"/>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其他应予说明的事项</w:t>
      </w:r>
      <w:bookmarkEnd w:id="19"/>
    </w:p>
    <w:p w:rsidR="00262F60" w:rsidRDefault="00D9013D" w:rsidP="00E43317">
      <w:pPr>
        <w:spacing w:beforeLines="50"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无。</w:t>
      </w:r>
    </w:p>
    <w:sectPr w:rsidR="00262F60" w:rsidSect="00262F60">
      <w:footerReference w:type="default" r:id="rId16"/>
      <w:pgSz w:w="11906" w:h="16838"/>
      <w:pgMar w:top="1588" w:right="1814" w:bottom="1588" w:left="181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F47" w:rsidRDefault="00B42F47" w:rsidP="00262F60">
      <w:r>
        <w:separator/>
      </w:r>
    </w:p>
  </w:endnote>
  <w:endnote w:type="continuationSeparator" w:id="1">
    <w:p w:rsidR="00B42F47" w:rsidRDefault="00B42F47" w:rsidP="00262F6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3D" w:rsidRDefault="0024703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79204"/>
    </w:sdtPr>
    <w:sdtContent>
      <w:p w:rsidR="00262F60" w:rsidRDefault="00E43317">
        <w:pPr>
          <w:pStyle w:val="ac"/>
          <w:jc w:val="center"/>
        </w:pPr>
        <w:r>
          <w:fldChar w:fldCharType="begin"/>
        </w:r>
        <w:r w:rsidR="00D9013D">
          <w:instrText>PAGE   \* MERGEFORMAT</w:instrText>
        </w:r>
        <w:r>
          <w:fldChar w:fldCharType="separate"/>
        </w:r>
        <w:r w:rsidR="00D9013D">
          <w:rPr>
            <w:lang w:val="zh-CN"/>
          </w:rPr>
          <w:t>2</w:t>
        </w:r>
        <w:r>
          <w:fldChar w:fldCharType="end"/>
        </w:r>
      </w:p>
    </w:sdtContent>
  </w:sdt>
  <w:p w:rsidR="00262F60" w:rsidRDefault="00262F6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3D" w:rsidRDefault="0024703D">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402111"/>
    </w:sdtPr>
    <w:sdtContent>
      <w:p w:rsidR="00262F60" w:rsidRDefault="00E43317">
        <w:pPr>
          <w:pStyle w:val="ac"/>
          <w:jc w:val="center"/>
        </w:pPr>
        <w:r>
          <w:fldChar w:fldCharType="begin"/>
        </w:r>
        <w:r w:rsidR="00D9013D">
          <w:instrText>PAGE   \* MERGEFORMAT</w:instrText>
        </w:r>
        <w:r>
          <w:fldChar w:fldCharType="separate"/>
        </w:r>
        <w:r w:rsidR="00D9013D">
          <w:rPr>
            <w:lang w:val="zh-CN"/>
          </w:rPr>
          <w:t>3</w:t>
        </w:r>
        <w:r>
          <w:fldChar w:fldCharType="end"/>
        </w:r>
      </w:p>
    </w:sdtContent>
  </w:sdt>
  <w:p w:rsidR="00262F60" w:rsidRDefault="00262F60">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60" w:rsidRDefault="00E43317">
    <w:pPr>
      <w:pStyle w:val="ac"/>
      <w:jc w:val="center"/>
      <w:rPr>
        <w:sz w:val="24"/>
        <w:szCs w:val="24"/>
      </w:rPr>
    </w:pPr>
    <w:r>
      <w:rPr>
        <w:sz w:val="24"/>
        <w:szCs w:val="24"/>
      </w:rPr>
      <w:fldChar w:fldCharType="begin"/>
    </w:r>
    <w:r w:rsidR="00D9013D">
      <w:rPr>
        <w:sz w:val="24"/>
        <w:szCs w:val="24"/>
      </w:rPr>
      <w:instrText>PAGE   \* MERGEFORMAT</w:instrText>
    </w:r>
    <w:r>
      <w:rPr>
        <w:sz w:val="24"/>
        <w:szCs w:val="24"/>
      </w:rPr>
      <w:fldChar w:fldCharType="separate"/>
    </w:r>
    <w:r w:rsidR="00D463ED" w:rsidRPr="00D463ED">
      <w:rPr>
        <w:noProof/>
        <w:sz w:val="24"/>
        <w:szCs w:val="24"/>
        <w:lang w:val="zh-CN"/>
      </w:rPr>
      <w:t>1</w:t>
    </w:r>
    <w:r>
      <w:rPr>
        <w:sz w:val="24"/>
        <w:szCs w:val="24"/>
      </w:rPr>
      <w:fldChar w:fldCharType="end"/>
    </w:r>
  </w:p>
  <w:p w:rsidR="00262F60" w:rsidRDefault="00262F6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F47" w:rsidRDefault="00B42F47" w:rsidP="00262F60">
      <w:r>
        <w:separator/>
      </w:r>
    </w:p>
  </w:footnote>
  <w:footnote w:type="continuationSeparator" w:id="1">
    <w:p w:rsidR="00B42F47" w:rsidRDefault="00B42F47" w:rsidP="00262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3D" w:rsidRDefault="0024703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3D" w:rsidRDefault="0024703D">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03D" w:rsidRDefault="0024703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suff w:val="nothing"/>
      <w:lvlText w:val="%1　"/>
      <w:lvlJc w:val="left"/>
      <w:pPr>
        <w:ind w:left="1277"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vanish w:val="0"/>
        <w:color w:val="000000"/>
        <w:spacing w:val="0"/>
        <w:kern w:val="0"/>
        <w:position w:val="0"/>
        <w:sz w:val="21"/>
        <w:szCs w:val="21"/>
        <w:u w:val="none"/>
        <w:vertAlign w:val="baseline"/>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2126"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00000017"/>
    <w:multiLevelType w:val="multilevel"/>
    <w:tmpl w:val="00000017"/>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03114E1C"/>
    <w:multiLevelType w:val="multilevel"/>
    <w:tmpl w:val="03114E1C"/>
    <w:lvl w:ilvl="0">
      <w:start w:val="1"/>
      <w:numFmt w:val="lowerLetter"/>
      <w:pStyle w:val="a2"/>
      <w:lvlText w:val="%1)"/>
      <w:lvlJc w:val="left"/>
      <w:pPr>
        <w:ind w:left="840" w:hanging="420"/>
      </w:pPr>
      <w:rPr>
        <w:rFonts w:hint="eastAsia"/>
        <w:b w:val="0"/>
        <w:i w:val="0"/>
        <w:sz w:val="20"/>
        <w:szCs w:val="21"/>
      </w:rPr>
    </w:lvl>
    <w:lvl w:ilvl="1">
      <w:start w:val="1"/>
      <w:numFmt w:val="decimal"/>
      <w:pStyle w:val="a3"/>
      <w:lvlText w:val="%2)"/>
      <w:lvlJc w:val="left"/>
      <w:pPr>
        <w:tabs>
          <w:tab w:val="left" w:pos="1259"/>
        </w:tabs>
        <w:ind w:left="1259" w:hanging="420"/>
      </w:pPr>
      <w:rPr>
        <w:rFonts w:ascii="宋体" w:eastAsia="宋体" w:hAnsi="宋体" w:hint="eastAsia"/>
        <w:b w:val="0"/>
        <w:i w:val="0"/>
        <w:sz w:val="20"/>
      </w:rPr>
    </w:lvl>
    <w:lvl w:ilvl="2">
      <w:start w:val="1"/>
      <w:numFmt w:val="decimal"/>
      <w:pStyle w:val="a4"/>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D80"/>
    <w:rsid w:val="00000830"/>
    <w:rsid w:val="00002B7C"/>
    <w:rsid w:val="000041EB"/>
    <w:rsid w:val="00005EE6"/>
    <w:rsid w:val="00006EF0"/>
    <w:rsid w:val="00022B03"/>
    <w:rsid w:val="0004418D"/>
    <w:rsid w:val="00061378"/>
    <w:rsid w:val="000876B6"/>
    <w:rsid w:val="000C5F7E"/>
    <w:rsid w:val="000D127C"/>
    <w:rsid w:val="000E544E"/>
    <w:rsid w:val="000F2EC1"/>
    <w:rsid w:val="000F5FBA"/>
    <w:rsid w:val="000F6B29"/>
    <w:rsid w:val="0013290C"/>
    <w:rsid w:val="00133103"/>
    <w:rsid w:val="0014096F"/>
    <w:rsid w:val="001416C7"/>
    <w:rsid w:val="001426ED"/>
    <w:rsid w:val="001500DC"/>
    <w:rsid w:val="00154EB1"/>
    <w:rsid w:val="00165479"/>
    <w:rsid w:val="00171197"/>
    <w:rsid w:val="001936E6"/>
    <w:rsid w:val="001A0D23"/>
    <w:rsid w:val="001B3A51"/>
    <w:rsid w:val="00210169"/>
    <w:rsid w:val="00216B64"/>
    <w:rsid w:val="00225BBA"/>
    <w:rsid w:val="00241115"/>
    <w:rsid w:val="0024703D"/>
    <w:rsid w:val="0025499B"/>
    <w:rsid w:val="002615E0"/>
    <w:rsid w:val="00262F60"/>
    <w:rsid w:val="002972BA"/>
    <w:rsid w:val="002D37E7"/>
    <w:rsid w:val="0030244D"/>
    <w:rsid w:val="0031315A"/>
    <w:rsid w:val="00317F8A"/>
    <w:rsid w:val="003235DA"/>
    <w:rsid w:val="00331983"/>
    <w:rsid w:val="00332699"/>
    <w:rsid w:val="003457C2"/>
    <w:rsid w:val="003544B8"/>
    <w:rsid w:val="00362971"/>
    <w:rsid w:val="0039181B"/>
    <w:rsid w:val="0039217E"/>
    <w:rsid w:val="003A319E"/>
    <w:rsid w:val="003D0C8C"/>
    <w:rsid w:val="003E0742"/>
    <w:rsid w:val="003E2746"/>
    <w:rsid w:val="003E468D"/>
    <w:rsid w:val="003E67D3"/>
    <w:rsid w:val="003F356A"/>
    <w:rsid w:val="003F366A"/>
    <w:rsid w:val="00423E79"/>
    <w:rsid w:val="004269C3"/>
    <w:rsid w:val="0044127E"/>
    <w:rsid w:val="004467BF"/>
    <w:rsid w:val="00447861"/>
    <w:rsid w:val="00483FA6"/>
    <w:rsid w:val="00491409"/>
    <w:rsid w:val="0049564C"/>
    <w:rsid w:val="00497192"/>
    <w:rsid w:val="004A33C6"/>
    <w:rsid w:val="004B1AD9"/>
    <w:rsid w:val="004B6E12"/>
    <w:rsid w:val="004C60ED"/>
    <w:rsid w:val="004D1019"/>
    <w:rsid w:val="004D4A52"/>
    <w:rsid w:val="00503171"/>
    <w:rsid w:val="005034BC"/>
    <w:rsid w:val="005103DF"/>
    <w:rsid w:val="0052635F"/>
    <w:rsid w:val="00531A37"/>
    <w:rsid w:val="00531DE3"/>
    <w:rsid w:val="00533951"/>
    <w:rsid w:val="005701C3"/>
    <w:rsid w:val="005732C5"/>
    <w:rsid w:val="00581B78"/>
    <w:rsid w:val="005C2CB0"/>
    <w:rsid w:val="00610FB3"/>
    <w:rsid w:val="00614860"/>
    <w:rsid w:val="006613FB"/>
    <w:rsid w:val="006634E1"/>
    <w:rsid w:val="006672E7"/>
    <w:rsid w:val="00672A9F"/>
    <w:rsid w:val="00675F68"/>
    <w:rsid w:val="00685107"/>
    <w:rsid w:val="006A4AEF"/>
    <w:rsid w:val="006B4DF1"/>
    <w:rsid w:val="006C0076"/>
    <w:rsid w:val="006D7746"/>
    <w:rsid w:val="006E0C0E"/>
    <w:rsid w:val="006E67C9"/>
    <w:rsid w:val="006E6C0B"/>
    <w:rsid w:val="006E7867"/>
    <w:rsid w:val="006F763E"/>
    <w:rsid w:val="007244EE"/>
    <w:rsid w:val="0073450F"/>
    <w:rsid w:val="00753809"/>
    <w:rsid w:val="00763EAB"/>
    <w:rsid w:val="00766C81"/>
    <w:rsid w:val="00771902"/>
    <w:rsid w:val="00773EE8"/>
    <w:rsid w:val="007749DE"/>
    <w:rsid w:val="00774D80"/>
    <w:rsid w:val="00783DD1"/>
    <w:rsid w:val="00785292"/>
    <w:rsid w:val="00785FF9"/>
    <w:rsid w:val="007B231C"/>
    <w:rsid w:val="007E705A"/>
    <w:rsid w:val="007F1430"/>
    <w:rsid w:val="007F738E"/>
    <w:rsid w:val="008107F0"/>
    <w:rsid w:val="00811CF9"/>
    <w:rsid w:val="00816801"/>
    <w:rsid w:val="00831EC0"/>
    <w:rsid w:val="00833541"/>
    <w:rsid w:val="008367A5"/>
    <w:rsid w:val="00846E4E"/>
    <w:rsid w:val="00854D5D"/>
    <w:rsid w:val="00863840"/>
    <w:rsid w:val="00870187"/>
    <w:rsid w:val="008814BD"/>
    <w:rsid w:val="008914E3"/>
    <w:rsid w:val="0089375D"/>
    <w:rsid w:val="008939A3"/>
    <w:rsid w:val="008A14D7"/>
    <w:rsid w:val="008B5E30"/>
    <w:rsid w:val="008D56EC"/>
    <w:rsid w:val="008E4618"/>
    <w:rsid w:val="008E6F9E"/>
    <w:rsid w:val="0090678B"/>
    <w:rsid w:val="009343B7"/>
    <w:rsid w:val="009413AD"/>
    <w:rsid w:val="00941C5C"/>
    <w:rsid w:val="00942E15"/>
    <w:rsid w:val="00951F8B"/>
    <w:rsid w:val="009725D0"/>
    <w:rsid w:val="009751C9"/>
    <w:rsid w:val="00980E45"/>
    <w:rsid w:val="009A3C51"/>
    <w:rsid w:val="009A79E2"/>
    <w:rsid w:val="009B3825"/>
    <w:rsid w:val="009D73A6"/>
    <w:rsid w:val="009F4B50"/>
    <w:rsid w:val="00A04DA5"/>
    <w:rsid w:val="00A15CFB"/>
    <w:rsid w:val="00A21F07"/>
    <w:rsid w:val="00A3418E"/>
    <w:rsid w:val="00A428EE"/>
    <w:rsid w:val="00A544ED"/>
    <w:rsid w:val="00A72F26"/>
    <w:rsid w:val="00A75124"/>
    <w:rsid w:val="00A8305A"/>
    <w:rsid w:val="00A834AA"/>
    <w:rsid w:val="00AD5020"/>
    <w:rsid w:val="00AE3903"/>
    <w:rsid w:val="00AE4BEA"/>
    <w:rsid w:val="00B2115A"/>
    <w:rsid w:val="00B328C9"/>
    <w:rsid w:val="00B42F47"/>
    <w:rsid w:val="00B62EFD"/>
    <w:rsid w:val="00B64CAE"/>
    <w:rsid w:val="00B67AFA"/>
    <w:rsid w:val="00B70E7E"/>
    <w:rsid w:val="00B8201E"/>
    <w:rsid w:val="00B91A4E"/>
    <w:rsid w:val="00BC346B"/>
    <w:rsid w:val="00BC4D1B"/>
    <w:rsid w:val="00BF1D15"/>
    <w:rsid w:val="00C04636"/>
    <w:rsid w:val="00C06C7D"/>
    <w:rsid w:val="00C076AF"/>
    <w:rsid w:val="00C35DDE"/>
    <w:rsid w:val="00C4552B"/>
    <w:rsid w:val="00C51076"/>
    <w:rsid w:val="00C515E5"/>
    <w:rsid w:val="00C54E66"/>
    <w:rsid w:val="00C55974"/>
    <w:rsid w:val="00C64365"/>
    <w:rsid w:val="00C743BF"/>
    <w:rsid w:val="00C80ECD"/>
    <w:rsid w:val="00CC50FC"/>
    <w:rsid w:val="00CD3CD3"/>
    <w:rsid w:val="00CE2184"/>
    <w:rsid w:val="00CF4BEA"/>
    <w:rsid w:val="00D22500"/>
    <w:rsid w:val="00D3282A"/>
    <w:rsid w:val="00D45BF9"/>
    <w:rsid w:val="00D463ED"/>
    <w:rsid w:val="00D71230"/>
    <w:rsid w:val="00D80291"/>
    <w:rsid w:val="00D8035A"/>
    <w:rsid w:val="00D813A2"/>
    <w:rsid w:val="00D858DD"/>
    <w:rsid w:val="00D87115"/>
    <w:rsid w:val="00D9013D"/>
    <w:rsid w:val="00DA6562"/>
    <w:rsid w:val="00DC2909"/>
    <w:rsid w:val="00DC3934"/>
    <w:rsid w:val="00DC5664"/>
    <w:rsid w:val="00DC70AD"/>
    <w:rsid w:val="00DD2063"/>
    <w:rsid w:val="00DD7B38"/>
    <w:rsid w:val="00DE597C"/>
    <w:rsid w:val="00DF19F3"/>
    <w:rsid w:val="00DF625C"/>
    <w:rsid w:val="00E0009D"/>
    <w:rsid w:val="00E1061A"/>
    <w:rsid w:val="00E13578"/>
    <w:rsid w:val="00E13E25"/>
    <w:rsid w:val="00E20429"/>
    <w:rsid w:val="00E306DD"/>
    <w:rsid w:val="00E33B00"/>
    <w:rsid w:val="00E43317"/>
    <w:rsid w:val="00E901AF"/>
    <w:rsid w:val="00E92873"/>
    <w:rsid w:val="00E953B9"/>
    <w:rsid w:val="00E96949"/>
    <w:rsid w:val="00E96F8E"/>
    <w:rsid w:val="00EA3493"/>
    <w:rsid w:val="00EC1E69"/>
    <w:rsid w:val="00ED2DA5"/>
    <w:rsid w:val="00ED65EB"/>
    <w:rsid w:val="00ED6D60"/>
    <w:rsid w:val="00ED7616"/>
    <w:rsid w:val="00EF5034"/>
    <w:rsid w:val="00F02FAE"/>
    <w:rsid w:val="00F326B1"/>
    <w:rsid w:val="00F34D0A"/>
    <w:rsid w:val="00F50060"/>
    <w:rsid w:val="00F55585"/>
    <w:rsid w:val="00F73DF9"/>
    <w:rsid w:val="00F74158"/>
    <w:rsid w:val="00FA45B6"/>
    <w:rsid w:val="00FC1720"/>
    <w:rsid w:val="00FF332B"/>
    <w:rsid w:val="0B024757"/>
    <w:rsid w:val="13794FD7"/>
    <w:rsid w:val="16D0746E"/>
    <w:rsid w:val="22A73D10"/>
    <w:rsid w:val="2BCB6823"/>
    <w:rsid w:val="34500C94"/>
    <w:rsid w:val="389D54A8"/>
    <w:rsid w:val="467B5CE4"/>
    <w:rsid w:val="48821D07"/>
    <w:rsid w:val="56F74049"/>
    <w:rsid w:val="56FC6472"/>
    <w:rsid w:val="61400ECB"/>
    <w:rsid w:val="70254692"/>
    <w:rsid w:val="7ED243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62F60"/>
    <w:pPr>
      <w:widowControl w:val="0"/>
      <w:jc w:val="both"/>
    </w:pPr>
    <w:rPr>
      <w:rFonts w:ascii="Times New Roman" w:eastAsia="宋体" w:hAnsi="Times New Roman" w:cs="Times New Roman"/>
      <w:kern w:val="2"/>
      <w:sz w:val="21"/>
    </w:rPr>
  </w:style>
  <w:style w:type="paragraph" w:styleId="1">
    <w:name w:val="heading 1"/>
    <w:basedOn w:val="a5"/>
    <w:next w:val="a5"/>
    <w:link w:val="1Char"/>
    <w:uiPriority w:val="9"/>
    <w:qFormat/>
    <w:rsid w:val="00262F60"/>
    <w:pPr>
      <w:keepNext/>
      <w:keepLines/>
      <w:spacing w:before="340" w:after="330" w:line="578" w:lineRule="auto"/>
      <w:outlineLvl w:val="0"/>
    </w:pPr>
    <w:rPr>
      <w:b/>
      <w:bCs/>
      <w:kern w:val="44"/>
      <w:sz w:val="44"/>
      <w:szCs w:val="4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
    <w:name w:val="toc 7"/>
    <w:basedOn w:val="a5"/>
    <w:next w:val="a5"/>
    <w:uiPriority w:val="39"/>
    <w:semiHidden/>
    <w:unhideWhenUsed/>
    <w:rsid w:val="00262F60"/>
    <w:pPr>
      <w:ind w:left="1260"/>
      <w:jc w:val="left"/>
    </w:pPr>
    <w:rPr>
      <w:rFonts w:asciiTheme="minorHAnsi" w:hAnsiTheme="minorHAnsi"/>
      <w:sz w:val="18"/>
      <w:szCs w:val="18"/>
    </w:rPr>
  </w:style>
  <w:style w:type="paragraph" w:styleId="a9">
    <w:name w:val="annotation text"/>
    <w:basedOn w:val="a5"/>
    <w:link w:val="Char1"/>
    <w:qFormat/>
    <w:rsid w:val="00262F60"/>
    <w:pPr>
      <w:adjustRightInd w:val="0"/>
      <w:spacing w:line="360" w:lineRule="atLeast"/>
      <w:jc w:val="left"/>
      <w:textAlignment w:val="baseline"/>
    </w:pPr>
    <w:rPr>
      <w:kern w:val="0"/>
      <w:sz w:val="28"/>
    </w:rPr>
  </w:style>
  <w:style w:type="paragraph" w:styleId="aa">
    <w:name w:val="Body Text Indent"/>
    <w:basedOn w:val="a5"/>
    <w:link w:val="Char"/>
    <w:rsid w:val="00262F60"/>
    <w:pPr>
      <w:adjustRightInd w:val="0"/>
      <w:spacing w:line="360" w:lineRule="auto"/>
      <w:ind w:firstLine="420"/>
      <w:jc w:val="left"/>
      <w:textAlignment w:val="baseline"/>
    </w:pPr>
    <w:rPr>
      <w:kern w:val="0"/>
    </w:rPr>
  </w:style>
  <w:style w:type="paragraph" w:styleId="5">
    <w:name w:val="toc 5"/>
    <w:basedOn w:val="a5"/>
    <w:next w:val="a5"/>
    <w:uiPriority w:val="39"/>
    <w:semiHidden/>
    <w:unhideWhenUsed/>
    <w:qFormat/>
    <w:rsid w:val="00262F60"/>
    <w:pPr>
      <w:ind w:left="840"/>
      <w:jc w:val="left"/>
    </w:pPr>
    <w:rPr>
      <w:rFonts w:asciiTheme="minorHAnsi" w:hAnsiTheme="minorHAnsi"/>
      <w:sz w:val="18"/>
      <w:szCs w:val="18"/>
    </w:rPr>
  </w:style>
  <w:style w:type="paragraph" w:styleId="3">
    <w:name w:val="toc 3"/>
    <w:basedOn w:val="a5"/>
    <w:next w:val="a5"/>
    <w:uiPriority w:val="39"/>
    <w:semiHidden/>
    <w:unhideWhenUsed/>
    <w:qFormat/>
    <w:rsid w:val="00262F60"/>
    <w:pPr>
      <w:ind w:left="420"/>
      <w:jc w:val="left"/>
    </w:pPr>
    <w:rPr>
      <w:rFonts w:asciiTheme="minorHAnsi" w:hAnsiTheme="minorHAnsi"/>
      <w:i/>
      <w:iCs/>
      <w:sz w:val="20"/>
    </w:rPr>
  </w:style>
  <w:style w:type="paragraph" w:styleId="8">
    <w:name w:val="toc 8"/>
    <w:basedOn w:val="a5"/>
    <w:next w:val="a5"/>
    <w:uiPriority w:val="39"/>
    <w:semiHidden/>
    <w:unhideWhenUsed/>
    <w:rsid w:val="00262F60"/>
    <w:pPr>
      <w:ind w:left="1470"/>
      <w:jc w:val="left"/>
    </w:pPr>
    <w:rPr>
      <w:rFonts w:asciiTheme="minorHAnsi" w:hAnsiTheme="minorHAnsi"/>
      <w:sz w:val="18"/>
      <w:szCs w:val="18"/>
    </w:rPr>
  </w:style>
  <w:style w:type="paragraph" w:styleId="ab">
    <w:name w:val="Balloon Text"/>
    <w:basedOn w:val="a5"/>
    <w:link w:val="Char0"/>
    <w:uiPriority w:val="99"/>
    <w:semiHidden/>
    <w:unhideWhenUsed/>
    <w:qFormat/>
    <w:rsid w:val="00262F60"/>
    <w:rPr>
      <w:sz w:val="18"/>
      <w:szCs w:val="18"/>
    </w:rPr>
  </w:style>
  <w:style w:type="paragraph" w:styleId="ac">
    <w:name w:val="footer"/>
    <w:basedOn w:val="a5"/>
    <w:link w:val="Char2"/>
    <w:uiPriority w:val="99"/>
    <w:unhideWhenUsed/>
    <w:qFormat/>
    <w:rsid w:val="00262F60"/>
    <w:pPr>
      <w:tabs>
        <w:tab w:val="center" w:pos="4153"/>
        <w:tab w:val="right" w:pos="8306"/>
      </w:tabs>
      <w:snapToGrid w:val="0"/>
      <w:jc w:val="left"/>
    </w:pPr>
    <w:rPr>
      <w:sz w:val="18"/>
      <w:szCs w:val="18"/>
    </w:rPr>
  </w:style>
  <w:style w:type="paragraph" w:styleId="ad">
    <w:name w:val="header"/>
    <w:basedOn w:val="a5"/>
    <w:link w:val="Char3"/>
    <w:uiPriority w:val="99"/>
    <w:unhideWhenUsed/>
    <w:rsid w:val="00262F60"/>
    <w:pPr>
      <w:pBdr>
        <w:bottom w:val="single" w:sz="6" w:space="1" w:color="auto"/>
      </w:pBdr>
      <w:tabs>
        <w:tab w:val="center" w:pos="4153"/>
        <w:tab w:val="right" w:pos="8306"/>
      </w:tabs>
      <w:snapToGrid w:val="0"/>
      <w:jc w:val="center"/>
    </w:pPr>
    <w:rPr>
      <w:sz w:val="18"/>
      <w:szCs w:val="18"/>
    </w:rPr>
  </w:style>
  <w:style w:type="paragraph" w:styleId="10">
    <w:name w:val="toc 1"/>
    <w:basedOn w:val="a5"/>
    <w:next w:val="a5"/>
    <w:uiPriority w:val="39"/>
    <w:rsid w:val="00262F60"/>
    <w:pPr>
      <w:spacing w:before="120" w:after="120"/>
      <w:jc w:val="left"/>
    </w:pPr>
    <w:rPr>
      <w:rFonts w:asciiTheme="minorHAnsi" w:hAnsiTheme="minorHAnsi"/>
      <w:b/>
      <w:bCs/>
      <w:caps/>
      <w:sz w:val="20"/>
    </w:rPr>
  </w:style>
  <w:style w:type="paragraph" w:styleId="4">
    <w:name w:val="toc 4"/>
    <w:basedOn w:val="a5"/>
    <w:next w:val="a5"/>
    <w:uiPriority w:val="39"/>
    <w:semiHidden/>
    <w:unhideWhenUsed/>
    <w:rsid w:val="00262F60"/>
    <w:pPr>
      <w:ind w:left="630"/>
      <w:jc w:val="left"/>
    </w:pPr>
    <w:rPr>
      <w:rFonts w:asciiTheme="minorHAnsi" w:hAnsiTheme="minorHAnsi"/>
      <w:sz w:val="18"/>
      <w:szCs w:val="18"/>
    </w:rPr>
  </w:style>
  <w:style w:type="paragraph" w:styleId="6">
    <w:name w:val="toc 6"/>
    <w:basedOn w:val="a5"/>
    <w:next w:val="a5"/>
    <w:uiPriority w:val="39"/>
    <w:semiHidden/>
    <w:unhideWhenUsed/>
    <w:rsid w:val="00262F60"/>
    <w:pPr>
      <w:ind w:left="1050"/>
      <w:jc w:val="left"/>
    </w:pPr>
    <w:rPr>
      <w:rFonts w:asciiTheme="minorHAnsi" w:hAnsiTheme="minorHAnsi"/>
      <w:sz w:val="18"/>
      <w:szCs w:val="18"/>
    </w:rPr>
  </w:style>
  <w:style w:type="paragraph" w:styleId="2">
    <w:name w:val="toc 2"/>
    <w:basedOn w:val="a5"/>
    <w:next w:val="a5"/>
    <w:uiPriority w:val="39"/>
    <w:rsid w:val="00262F60"/>
    <w:pPr>
      <w:ind w:left="210"/>
      <w:jc w:val="left"/>
    </w:pPr>
    <w:rPr>
      <w:rFonts w:asciiTheme="minorHAnsi" w:hAnsiTheme="minorHAnsi"/>
      <w:smallCaps/>
      <w:sz w:val="20"/>
    </w:rPr>
  </w:style>
  <w:style w:type="paragraph" w:styleId="9">
    <w:name w:val="toc 9"/>
    <w:basedOn w:val="a5"/>
    <w:next w:val="a5"/>
    <w:uiPriority w:val="39"/>
    <w:semiHidden/>
    <w:unhideWhenUsed/>
    <w:rsid w:val="00262F60"/>
    <w:pPr>
      <w:ind w:left="1680"/>
      <w:jc w:val="left"/>
    </w:pPr>
    <w:rPr>
      <w:rFonts w:asciiTheme="minorHAnsi" w:hAnsiTheme="minorHAnsi"/>
      <w:sz w:val="18"/>
      <w:szCs w:val="18"/>
    </w:rPr>
  </w:style>
  <w:style w:type="character" w:styleId="ae">
    <w:name w:val="Hyperlink"/>
    <w:uiPriority w:val="99"/>
    <w:qFormat/>
    <w:rsid w:val="00262F60"/>
    <w:rPr>
      <w:color w:val="0000FF"/>
      <w:u w:val="single"/>
    </w:rPr>
  </w:style>
  <w:style w:type="character" w:styleId="af">
    <w:name w:val="annotation reference"/>
    <w:qFormat/>
    <w:rsid w:val="00262F60"/>
    <w:rPr>
      <w:sz w:val="21"/>
      <w:szCs w:val="21"/>
    </w:rPr>
  </w:style>
  <w:style w:type="paragraph" w:styleId="af0">
    <w:name w:val="List Paragraph"/>
    <w:basedOn w:val="a5"/>
    <w:uiPriority w:val="34"/>
    <w:qFormat/>
    <w:rsid w:val="00262F60"/>
    <w:pPr>
      <w:ind w:firstLineChars="200" w:firstLine="420"/>
    </w:pPr>
  </w:style>
  <w:style w:type="character" w:customStyle="1" w:styleId="Char3">
    <w:name w:val="页眉 Char"/>
    <w:basedOn w:val="a6"/>
    <w:link w:val="ad"/>
    <w:uiPriority w:val="99"/>
    <w:qFormat/>
    <w:rsid w:val="00262F60"/>
    <w:rPr>
      <w:rFonts w:ascii="Times New Roman" w:eastAsia="宋体" w:hAnsi="Times New Roman" w:cs="Times New Roman"/>
      <w:sz w:val="18"/>
      <w:szCs w:val="18"/>
    </w:rPr>
  </w:style>
  <w:style w:type="character" w:customStyle="1" w:styleId="Char2">
    <w:name w:val="页脚 Char"/>
    <w:basedOn w:val="a6"/>
    <w:link w:val="ac"/>
    <w:uiPriority w:val="99"/>
    <w:qFormat/>
    <w:rsid w:val="00262F60"/>
    <w:rPr>
      <w:rFonts w:ascii="Times New Roman" w:eastAsia="宋体" w:hAnsi="Times New Roman" w:cs="Times New Roman"/>
      <w:sz w:val="18"/>
      <w:szCs w:val="18"/>
    </w:rPr>
  </w:style>
  <w:style w:type="character" w:customStyle="1" w:styleId="Char0">
    <w:name w:val="批注框文本 Char"/>
    <w:basedOn w:val="a6"/>
    <w:link w:val="ab"/>
    <w:uiPriority w:val="99"/>
    <w:semiHidden/>
    <w:qFormat/>
    <w:rsid w:val="00262F60"/>
    <w:rPr>
      <w:rFonts w:ascii="Times New Roman" w:eastAsia="宋体" w:hAnsi="Times New Roman" w:cs="Times New Roman"/>
      <w:sz w:val="18"/>
      <w:szCs w:val="18"/>
    </w:rPr>
  </w:style>
  <w:style w:type="character" w:customStyle="1" w:styleId="Char4">
    <w:name w:val="批注文字 Char"/>
    <w:basedOn w:val="a6"/>
    <w:uiPriority w:val="99"/>
    <w:semiHidden/>
    <w:qFormat/>
    <w:rsid w:val="00262F60"/>
    <w:rPr>
      <w:rFonts w:ascii="Times New Roman" w:eastAsia="宋体" w:hAnsi="Times New Roman" w:cs="Times New Roman"/>
      <w:szCs w:val="20"/>
    </w:rPr>
  </w:style>
  <w:style w:type="character" w:customStyle="1" w:styleId="Char1">
    <w:name w:val="批注文字 Char1"/>
    <w:link w:val="a9"/>
    <w:qFormat/>
    <w:rsid w:val="00262F60"/>
    <w:rPr>
      <w:rFonts w:ascii="Times New Roman" w:eastAsia="宋体" w:hAnsi="Times New Roman" w:cs="Times New Roman"/>
      <w:kern w:val="0"/>
      <w:sz w:val="28"/>
      <w:szCs w:val="20"/>
    </w:rPr>
  </w:style>
  <w:style w:type="character" w:customStyle="1" w:styleId="Char">
    <w:name w:val="正文文本缩进 Char"/>
    <w:basedOn w:val="a6"/>
    <w:link w:val="aa"/>
    <w:qFormat/>
    <w:rsid w:val="00262F60"/>
    <w:rPr>
      <w:rFonts w:ascii="Times New Roman" w:eastAsia="宋体" w:hAnsi="Times New Roman" w:cs="Times New Roman"/>
      <w:kern w:val="0"/>
      <w:szCs w:val="20"/>
    </w:rPr>
  </w:style>
  <w:style w:type="character" w:customStyle="1" w:styleId="1Char">
    <w:name w:val="标题 1 Char"/>
    <w:basedOn w:val="a6"/>
    <w:link w:val="1"/>
    <w:uiPriority w:val="9"/>
    <w:qFormat/>
    <w:rsid w:val="00262F60"/>
    <w:rPr>
      <w:rFonts w:ascii="Times New Roman" w:eastAsia="宋体" w:hAnsi="Times New Roman" w:cs="Times New Roman"/>
      <w:b/>
      <w:bCs/>
      <w:kern w:val="44"/>
      <w:sz w:val="44"/>
      <w:szCs w:val="44"/>
    </w:rPr>
  </w:style>
  <w:style w:type="paragraph" w:customStyle="1" w:styleId="TOC1">
    <w:name w:val="TOC 标题1"/>
    <w:basedOn w:val="1"/>
    <w:next w:val="a5"/>
    <w:uiPriority w:val="39"/>
    <w:unhideWhenUsed/>
    <w:qFormat/>
    <w:rsid w:val="00262F6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1">
    <w:name w:val="表格"/>
    <w:basedOn w:val="a5"/>
    <w:qFormat/>
    <w:rsid w:val="00262F60"/>
    <w:pPr>
      <w:adjustRightInd w:val="0"/>
      <w:snapToGrid w:val="0"/>
      <w:spacing w:after="60" w:line="400" w:lineRule="atLeast"/>
      <w:jc w:val="center"/>
      <w:textAlignment w:val="center"/>
    </w:pPr>
    <w:rPr>
      <w:kern w:val="0"/>
    </w:rPr>
  </w:style>
  <w:style w:type="paragraph" w:customStyle="1" w:styleId="af2">
    <w:name w:val="一级条标题"/>
    <w:next w:val="a5"/>
    <w:qFormat/>
    <w:rsid w:val="00262F60"/>
    <w:pPr>
      <w:spacing w:beforeLines="50" w:afterLines="50"/>
      <w:outlineLvl w:val="2"/>
    </w:pPr>
    <w:rPr>
      <w:rFonts w:ascii="黑体" w:eastAsia="黑体" w:hAnsi="Times New Roman" w:cs="Times New Roman"/>
      <w:sz w:val="21"/>
      <w:szCs w:val="21"/>
    </w:rPr>
  </w:style>
  <w:style w:type="paragraph" w:customStyle="1" w:styleId="a">
    <w:name w:val="二级条标题"/>
    <w:basedOn w:val="af2"/>
    <w:next w:val="a5"/>
    <w:qFormat/>
    <w:rsid w:val="00262F60"/>
    <w:pPr>
      <w:numPr>
        <w:ilvl w:val="2"/>
        <w:numId w:val="1"/>
      </w:numPr>
      <w:spacing w:before="50" w:after="50"/>
      <w:outlineLvl w:val="3"/>
    </w:pPr>
    <w:rPr>
      <w:rFonts w:ascii="Times New Roman" w:eastAsia="宋体"/>
    </w:rPr>
  </w:style>
  <w:style w:type="paragraph" w:customStyle="1" w:styleId="a3">
    <w:name w:val="三级条标题"/>
    <w:basedOn w:val="a"/>
    <w:next w:val="a5"/>
    <w:qFormat/>
    <w:rsid w:val="00262F60"/>
    <w:pPr>
      <w:numPr>
        <w:ilvl w:val="1"/>
        <w:numId w:val="2"/>
      </w:numPr>
      <w:outlineLvl w:val="4"/>
    </w:pPr>
  </w:style>
  <w:style w:type="paragraph" w:customStyle="1" w:styleId="a2">
    <w:name w:val="列项——（一级）"/>
    <w:qFormat/>
    <w:rsid w:val="00262F60"/>
    <w:pPr>
      <w:widowControl w:val="0"/>
      <w:numPr>
        <w:numId w:val="2"/>
      </w:numPr>
      <w:jc w:val="both"/>
    </w:pPr>
    <w:rPr>
      <w:rFonts w:ascii="宋体" w:eastAsia="宋体" w:hAnsi="Times New Roman" w:cs="Times New Roman"/>
      <w:sz w:val="21"/>
    </w:rPr>
  </w:style>
  <w:style w:type="paragraph" w:customStyle="1" w:styleId="a4">
    <w:name w:val="列项◆（三级）"/>
    <w:basedOn w:val="a5"/>
    <w:qFormat/>
    <w:rsid w:val="00262F60"/>
    <w:pPr>
      <w:widowControl/>
      <w:numPr>
        <w:ilvl w:val="2"/>
        <w:numId w:val="2"/>
      </w:numPr>
      <w:jc w:val="left"/>
    </w:pPr>
    <w:rPr>
      <w:rFonts w:ascii="宋体"/>
      <w:kern w:val="0"/>
      <w:sz w:val="24"/>
      <w:szCs w:val="21"/>
    </w:rPr>
  </w:style>
  <w:style w:type="paragraph" w:customStyle="1" w:styleId="a0">
    <w:name w:val="字母编号列项（一级）"/>
    <w:qFormat/>
    <w:rsid w:val="00262F60"/>
    <w:pPr>
      <w:numPr>
        <w:numId w:val="3"/>
      </w:numPr>
      <w:jc w:val="both"/>
    </w:pPr>
    <w:rPr>
      <w:rFonts w:ascii="宋体" w:eastAsia="宋体" w:hAnsi="Times New Roman" w:cs="Times New Roman"/>
      <w:sz w:val="21"/>
    </w:rPr>
  </w:style>
  <w:style w:type="paragraph" w:customStyle="1" w:styleId="a1">
    <w:name w:val="数字编号列项（二级）"/>
    <w:qFormat/>
    <w:rsid w:val="00262F60"/>
    <w:pPr>
      <w:numPr>
        <w:ilvl w:val="1"/>
        <w:numId w:val="3"/>
      </w:numPr>
      <w:jc w:val="both"/>
    </w:pPr>
    <w:rPr>
      <w:rFonts w:ascii="宋体"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DE4D2-E4D9-3748-8ADF-B86A7AFB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846</Words>
  <Characters>4824</Characters>
  <Application>Microsoft Office Word</Application>
  <DocSecurity>0</DocSecurity>
  <Lines>40</Lines>
  <Paragraphs>11</Paragraphs>
  <ScaleCrop>false</ScaleCrop>
  <Company>Microsoft</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18</cp:revision>
  <dcterms:created xsi:type="dcterms:W3CDTF">2020-07-17T00:49:00Z</dcterms:created>
  <dcterms:modified xsi:type="dcterms:W3CDTF">2020-11-04T02:57:00Z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